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AE291A">
      <w:pPr>
        <w:ind w:firstLine="0" w:firstLineChars="0"/>
        <w:jc w:val="center"/>
        <w:outlineLvl w:val="1"/>
        <w:rPr>
          <w:rFonts w:ascii="黑体" w:hAnsi="黑体" w:eastAsia="黑体" w:cs="黑体"/>
          <w:bCs/>
          <w:sz w:val="44"/>
          <w:szCs w:val="44"/>
        </w:rPr>
      </w:pPr>
    </w:p>
    <w:p w14:paraId="736BAEB2">
      <w:pPr>
        <w:ind w:firstLine="0" w:firstLineChars="0"/>
        <w:jc w:val="center"/>
        <w:outlineLvl w:val="1"/>
        <w:rPr>
          <w:rFonts w:ascii="黑体" w:hAnsi="黑体" w:eastAsia="黑体" w:cs="黑体"/>
          <w:bCs/>
          <w:sz w:val="44"/>
          <w:szCs w:val="44"/>
        </w:rPr>
      </w:pPr>
    </w:p>
    <w:p w14:paraId="0519E438">
      <w:pPr>
        <w:ind w:firstLine="0" w:firstLineChars="0"/>
        <w:jc w:val="center"/>
        <w:outlineLvl w:val="1"/>
        <w:rPr>
          <w:rFonts w:ascii="黑体" w:hAnsi="黑体" w:eastAsia="黑体" w:cs="黑体"/>
          <w:bCs/>
          <w:sz w:val="44"/>
          <w:szCs w:val="44"/>
        </w:rPr>
      </w:pPr>
    </w:p>
    <w:p w14:paraId="4E3DE515">
      <w:pPr>
        <w:ind w:firstLine="0" w:firstLineChars="0"/>
        <w:jc w:val="center"/>
        <w:outlineLvl w:val="1"/>
        <w:rPr>
          <w:rFonts w:ascii="黑体" w:hAnsi="黑体" w:eastAsia="黑体" w:cs="黑体"/>
          <w:bCs/>
          <w:sz w:val="44"/>
          <w:szCs w:val="44"/>
        </w:rPr>
      </w:pPr>
      <w:r>
        <w:rPr>
          <w:rFonts w:hint="eastAsia" w:ascii="黑体" w:hAnsi="黑体" w:eastAsia="黑体" w:cs="黑体"/>
          <w:bCs/>
          <w:sz w:val="44"/>
          <w:szCs w:val="44"/>
          <w:lang w:eastAsia="zh-CN"/>
        </w:rPr>
        <w:t>国际医疗器械城工4地块项目（造价审核）服务</w:t>
      </w:r>
      <w:r>
        <w:rPr>
          <w:rFonts w:hint="eastAsia" w:ascii="黑体" w:hAnsi="黑体" w:eastAsia="黑体" w:cs="黑体"/>
          <w:bCs/>
          <w:sz w:val="44"/>
          <w:szCs w:val="44"/>
        </w:rPr>
        <w:t>合同</w:t>
      </w:r>
    </w:p>
    <w:p w14:paraId="378A277A">
      <w:pPr>
        <w:ind w:firstLine="0" w:firstLineChars="0"/>
        <w:jc w:val="center"/>
        <w:outlineLvl w:val="1"/>
        <w:rPr>
          <w:rFonts w:ascii="黑体" w:hAnsi="黑体" w:eastAsia="黑体" w:cs="黑体"/>
          <w:bCs/>
          <w:sz w:val="44"/>
          <w:szCs w:val="44"/>
        </w:rPr>
      </w:pPr>
    </w:p>
    <w:p w14:paraId="4A194CC9">
      <w:pPr>
        <w:spacing w:line="480" w:lineRule="auto"/>
        <w:ind w:firstLine="612"/>
        <w:rPr>
          <w:rFonts w:ascii="宋体" w:hAnsi="宋体"/>
          <w:b/>
          <w:sz w:val="30"/>
          <w:szCs w:val="30"/>
        </w:rPr>
      </w:pPr>
    </w:p>
    <w:p w14:paraId="47A39036">
      <w:pPr>
        <w:spacing w:line="480" w:lineRule="auto"/>
        <w:ind w:firstLine="612"/>
        <w:rPr>
          <w:rFonts w:ascii="宋体" w:hAnsi="宋体"/>
          <w:b/>
          <w:sz w:val="30"/>
          <w:szCs w:val="30"/>
        </w:rPr>
      </w:pPr>
    </w:p>
    <w:p w14:paraId="68E0559C">
      <w:pPr>
        <w:spacing w:line="480" w:lineRule="auto"/>
        <w:ind w:firstLine="600"/>
        <w:rPr>
          <w:rFonts w:ascii="黑体" w:hAnsi="黑体" w:eastAsia="黑体" w:cs="黑体"/>
          <w:bCs/>
          <w:sz w:val="30"/>
          <w:szCs w:val="30"/>
        </w:rPr>
      </w:pPr>
      <w:r>
        <w:rPr>
          <w:rFonts w:hint="eastAsia" w:ascii="黑体" w:hAnsi="黑体" w:eastAsia="黑体" w:cs="黑体"/>
          <w:bCs/>
          <w:sz w:val="30"/>
          <w:szCs w:val="30"/>
        </w:rPr>
        <w:t>合同编号：</w:t>
      </w:r>
      <w:r>
        <w:rPr>
          <w:rFonts w:hint="eastAsia" w:ascii="黑体" w:hAnsi="黑体" w:eastAsia="黑体" w:cs="黑体"/>
          <w:bCs/>
          <w:sz w:val="30"/>
          <w:szCs w:val="30"/>
          <w:lang w:val="en-US" w:eastAsia="zh-CN"/>
        </w:rPr>
        <w:t xml:space="preserve"> </w:t>
      </w:r>
      <w:r>
        <w:rPr>
          <w:rFonts w:hint="eastAsia" w:ascii="黑体" w:hAnsi="黑体" w:eastAsia="黑体" w:cs="黑体"/>
          <w:bCs/>
          <w:sz w:val="30"/>
          <w:szCs w:val="30"/>
        </w:rPr>
        <w:t xml:space="preserve"> </w:t>
      </w:r>
    </w:p>
    <w:p w14:paraId="01413464">
      <w:pPr>
        <w:spacing w:line="720" w:lineRule="auto"/>
        <w:ind w:firstLine="900" w:firstLineChars="300"/>
        <w:jc w:val="left"/>
        <w:rPr>
          <w:rFonts w:ascii="宋体" w:hAnsi="宋体" w:cs="黑体"/>
          <w:sz w:val="30"/>
          <w:szCs w:val="30"/>
        </w:rPr>
      </w:pPr>
    </w:p>
    <w:p w14:paraId="3D839753">
      <w:pPr>
        <w:spacing w:line="720" w:lineRule="auto"/>
        <w:ind w:firstLine="900" w:firstLineChars="300"/>
        <w:jc w:val="left"/>
        <w:rPr>
          <w:rFonts w:ascii="宋体" w:hAnsi="宋体" w:cs="黑体"/>
          <w:sz w:val="30"/>
          <w:szCs w:val="30"/>
        </w:rPr>
      </w:pPr>
    </w:p>
    <w:p w14:paraId="7C51316D">
      <w:pPr>
        <w:ind w:left="1400" w:hanging="1400" w:hangingChars="500"/>
        <w:jc w:val="left"/>
        <w:outlineLvl w:val="1"/>
        <w:rPr>
          <w:rFonts w:ascii="宋体" w:hAnsi="宋体" w:cs="黑体"/>
          <w:sz w:val="28"/>
          <w:szCs w:val="28"/>
        </w:rPr>
      </w:pPr>
      <w:r>
        <w:rPr>
          <w:rFonts w:hint="eastAsia" w:ascii="黑体" w:hAnsi="黑体" w:eastAsia="黑体" w:cs="黑体"/>
          <w:bCs/>
          <w:sz w:val="28"/>
          <w:szCs w:val="28"/>
        </w:rPr>
        <w:t>工程名称：</w:t>
      </w:r>
      <w:r>
        <w:rPr>
          <w:rFonts w:hint="eastAsia" w:ascii="黑体" w:hAnsi="黑体" w:eastAsia="黑体" w:cs="黑体"/>
          <w:bCs/>
          <w:sz w:val="28"/>
          <w:szCs w:val="28"/>
          <w:u w:val="single"/>
          <w:lang w:eastAsia="zh-CN"/>
        </w:rPr>
        <w:t>国际医疗器械城工4地块项目（造价审核）</w:t>
      </w:r>
      <w:r>
        <w:rPr>
          <w:rFonts w:hint="eastAsia" w:ascii="黑体" w:hAnsi="黑体" w:eastAsia="黑体" w:cs="黑体"/>
          <w:bCs/>
          <w:sz w:val="28"/>
          <w:szCs w:val="28"/>
          <w:u w:val="single"/>
        </w:rPr>
        <w:t xml:space="preserve"> </w:t>
      </w:r>
      <w:r>
        <w:rPr>
          <w:rFonts w:hint="eastAsia" w:ascii="宋体" w:hAnsi="宋体" w:cs="黑体"/>
          <w:sz w:val="28"/>
          <w:szCs w:val="28"/>
        </w:rPr>
        <w:t xml:space="preserve">  </w:t>
      </w:r>
    </w:p>
    <w:p w14:paraId="51E22BF1">
      <w:pPr>
        <w:adjustRightInd w:val="0"/>
        <w:snapToGrid w:val="0"/>
        <w:spacing w:before="156" w:beforeLines="50" w:after="156" w:afterLines="50" w:line="300" w:lineRule="auto"/>
        <w:ind w:firstLine="0" w:firstLineChars="0"/>
        <w:rPr>
          <w:rFonts w:ascii="黑体" w:hAnsi="黑体" w:eastAsia="黑体" w:cs="黑体"/>
          <w:bCs/>
          <w:sz w:val="28"/>
          <w:szCs w:val="28"/>
          <w:u w:val="single"/>
        </w:rPr>
      </w:pPr>
      <w:r>
        <w:rPr>
          <w:rFonts w:hint="eastAsia" w:ascii="黑体" w:hAnsi="黑体" w:eastAsia="黑体" w:cs="黑体"/>
          <w:bCs/>
          <w:sz w:val="28"/>
          <w:szCs w:val="28"/>
        </w:rPr>
        <w:t>委托人（甲方）：</w:t>
      </w:r>
      <w:r>
        <w:rPr>
          <w:rFonts w:hint="eastAsia" w:ascii="黑体" w:hAnsi="黑体" w:eastAsia="黑体" w:cs="黑体"/>
          <w:bCs/>
          <w:sz w:val="28"/>
          <w:szCs w:val="28"/>
          <w:u w:val="single"/>
          <w:lang w:eastAsia="zh-CN"/>
        </w:rPr>
        <w:t>深圳市新龙观投资发展有限公司</w:t>
      </w:r>
      <w:r>
        <w:rPr>
          <w:rFonts w:hint="eastAsia" w:ascii="黑体" w:hAnsi="黑体" w:eastAsia="黑体" w:cs="黑体"/>
          <w:bCs/>
          <w:sz w:val="28"/>
          <w:szCs w:val="28"/>
          <w:u w:val="single"/>
        </w:rPr>
        <w:t xml:space="preserve"> </w:t>
      </w:r>
    </w:p>
    <w:p w14:paraId="6CBC9470">
      <w:pPr>
        <w:adjustRightInd w:val="0"/>
        <w:snapToGrid w:val="0"/>
        <w:spacing w:before="156" w:beforeLines="50" w:after="156" w:afterLines="50"/>
        <w:ind w:firstLine="0" w:firstLineChars="0"/>
        <w:rPr>
          <w:rFonts w:ascii="黑体" w:hAnsi="黑体" w:eastAsia="黑体" w:cs="黑体"/>
          <w:bCs/>
          <w:sz w:val="28"/>
          <w:szCs w:val="28"/>
          <w:u w:val="single"/>
        </w:rPr>
      </w:pPr>
      <w:r>
        <w:rPr>
          <w:rFonts w:hint="eastAsia" w:ascii="黑体" w:hAnsi="黑体" w:eastAsia="黑体" w:cs="黑体"/>
          <w:bCs/>
          <w:sz w:val="28"/>
          <w:szCs w:val="28"/>
        </w:rPr>
        <w:t>受托人（乙方）：</w:t>
      </w:r>
      <w:r>
        <w:rPr>
          <w:rFonts w:hint="eastAsia" w:ascii="黑体" w:hAnsi="黑体" w:eastAsia="黑体" w:cs="黑体"/>
          <w:bCs/>
          <w:sz w:val="28"/>
          <w:szCs w:val="28"/>
          <w:u w:val="single"/>
          <w:lang w:eastAsia="zh-CN"/>
        </w:rPr>
        <w:t>XXXX</w:t>
      </w:r>
      <w:r>
        <w:rPr>
          <w:rFonts w:hint="eastAsia" w:ascii="黑体" w:hAnsi="黑体" w:eastAsia="黑体" w:cs="黑体"/>
          <w:bCs/>
          <w:sz w:val="28"/>
          <w:szCs w:val="28"/>
          <w:u w:val="single"/>
        </w:rPr>
        <w:t xml:space="preserve">有限公司 </w:t>
      </w:r>
    </w:p>
    <w:p w14:paraId="19978F5D">
      <w:pPr>
        <w:ind w:firstLine="600"/>
        <w:jc w:val="center"/>
        <w:rPr>
          <w:rFonts w:ascii="黑体" w:hAnsi="黑体" w:eastAsia="黑体" w:cs="黑体"/>
          <w:bCs/>
          <w:sz w:val="30"/>
          <w:szCs w:val="30"/>
        </w:rPr>
      </w:pPr>
    </w:p>
    <w:p w14:paraId="6663B43B">
      <w:pPr>
        <w:ind w:firstLine="600"/>
        <w:jc w:val="center"/>
        <w:rPr>
          <w:rFonts w:ascii="黑体" w:hAnsi="黑体" w:eastAsia="黑体" w:cs="黑体"/>
          <w:bCs/>
          <w:sz w:val="30"/>
          <w:szCs w:val="30"/>
        </w:rPr>
      </w:pPr>
      <w:r>
        <w:rPr>
          <w:rFonts w:hint="eastAsia" w:ascii="黑体" w:hAnsi="黑体" w:eastAsia="黑体" w:cs="黑体"/>
          <w:bCs/>
          <w:sz w:val="30"/>
          <w:szCs w:val="30"/>
        </w:rPr>
        <w:t>签订日期： 202</w:t>
      </w:r>
      <w:r>
        <w:rPr>
          <w:rFonts w:hint="eastAsia" w:ascii="黑体" w:hAnsi="黑体" w:eastAsia="黑体" w:cs="黑体"/>
          <w:bCs/>
          <w:sz w:val="30"/>
          <w:szCs w:val="30"/>
          <w:lang w:val="en-US" w:eastAsia="zh-CN"/>
        </w:rPr>
        <w:t>5</w:t>
      </w:r>
      <w:r>
        <w:rPr>
          <w:rFonts w:hint="eastAsia" w:ascii="黑体" w:hAnsi="黑体" w:eastAsia="黑体" w:cs="黑体"/>
          <w:bCs/>
          <w:sz w:val="30"/>
          <w:szCs w:val="30"/>
        </w:rPr>
        <w:t xml:space="preserve"> 年   月   日</w:t>
      </w:r>
    </w:p>
    <w:p w14:paraId="1A062649">
      <w:pPr>
        <w:spacing w:line="480" w:lineRule="auto"/>
        <w:ind w:firstLine="979"/>
        <w:jc w:val="center"/>
        <w:rPr>
          <w:rFonts w:ascii="宋体" w:hAnsi="宋体"/>
          <w:b/>
          <w:sz w:val="48"/>
          <w:szCs w:val="48"/>
        </w:rPr>
      </w:pPr>
    </w:p>
    <w:p w14:paraId="4CA93E97">
      <w:pPr>
        <w:ind w:firstLine="480"/>
        <w:jc w:val="center"/>
        <w:rPr>
          <w:rFonts w:ascii="宋体" w:hAnsi="宋体"/>
          <w:sz w:val="24"/>
        </w:rPr>
        <w:sectPr>
          <w:headerReference r:id="rId5" w:type="default"/>
          <w:footerReference r:id="rId6" w:type="default"/>
          <w:pgSz w:w="11906" w:h="16838"/>
          <w:pgMar w:top="1440" w:right="1800" w:bottom="1440" w:left="1800" w:header="851" w:footer="992" w:gutter="0"/>
          <w:cols w:space="720" w:num="1"/>
          <w:docGrid w:type="lines" w:linePitch="312" w:charSpace="0"/>
        </w:sectPr>
      </w:pPr>
    </w:p>
    <w:p w14:paraId="47F9D404">
      <w:pPr>
        <w:spacing w:line="480" w:lineRule="auto"/>
        <w:ind w:firstLine="734"/>
        <w:jc w:val="center"/>
        <w:outlineLvl w:val="1"/>
        <w:rPr>
          <w:rFonts w:ascii="宋体" w:hAnsi="宋体"/>
          <w:sz w:val="24"/>
        </w:rPr>
      </w:pPr>
      <w:bookmarkStart w:id="0" w:name="_Hlk116239327"/>
      <w:r>
        <w:rPr>
          <w:rFonts w:hint="eastAsia" w:ascii="宋体" w:hAnsi="宋体"/>
          <w:b/>
          <w:sz w:val="36"/>
          <w:szCs w:val="36"/>
        </w:rPr>
        <w:t>第一部分 协议书</w:t>
      </w:r>
    </w:p>
    <w:bookmarkEnd w:id="0"/>
    <w:p w14:paraId="564773FF">
      <w:pPr>
        <w:adjustRightInd w:val="0"/>
        <w:snapToGrid w:val="0"/>
        <w:spacing w:before="156" w:beforeLines="50" w:after="156" w:afterLines="50"/>
        <w:ind w:firstLine="420"/>
        <w:rPr>
          <w:rFonts w:hint="eastAsia" w:ascii="宋体" w:hAnsi="宋体" w:eastAsia="宋体" w:cs="宋体"/>
          <w:szCs w:val="21"/>
          <w:u w:val="single"/>
          <w:lang w:eastAsia="zh-CN"/>
        </w:rPr>
      </w:pPr>
      <w:r>
        <w:rPr>
          <w:rFonts w:hint="eastAsia" w:ascii="宋体" w:hAnsi="宋体" w:cs="宋体"/>
          <w:szCs w:val="21"/>
        </w:rPr>
        <w:t>委托人（甲方）:</w:t>
      </w:r>
      <w:r>
        <w:rPr>
          <w:rFonts w:hint="eastAsia" w:ascii="宋体" w:hAnsi="宋体" w:cs="宋体"/>
          <w:szCs w:val="21"/>
          <w:u w:val="single"/>
          <w:lang w:eastAsia="zh-CN"/>
        </w:rPr>
        <w:t>深圳市新龙观投资发展有限公司</w:t>
      </w:r>
    </w:p>
    <w:p w14:paraId="0E39CF9D">
      <w:pPr>
        <w:adjustRightInd w:val="0"/>
        <w:snapToGrid w:val="0"/>
        <w:spacing w:before="156" w:beforeLines="50" w:after="156" w:afterLines="50"/>
        <w:ind w:firstLine="420"/>
        <w:rPr>
          <w:rFonts w:ascii="宋体" w:hAnsi="宋体" w:cs="宋体"/>
          <w:szCs w:val="21"/>
          <w:u w:val="single"/>
        </w:rPr>
      </w:pPr>
      <w:r>
        <w:rPr>
          <w:rFonts w:hint="eastAsia" w:ascii="宋体" w:hAnsi="宋体" w:cs="宋体"/>
          <w:szCs w:val="21"/>
        </w:rPr>
        <w:t>法定代表人:</w:t>
      </w:r>
      <w:r>
        <w:rPr>
          <w:rFonts w:hint="eastAsia" w:ascii="宋体" w:hAnsi="宋体" w:cs="宋体"/>
          <w:szCs w:val="21"/>
          <w:u w:val="single"/>
        </w:rPr>
        <w:t>刘晓迎</w:t>
      </w:r>
    </w:p>
    <w:p w14:paraId="5ADE6292">
      <w:pPr>
        <w:adjustRightInd w:val="0"/>
        <w:snapToGrid w:val="0"/>
        <w:spacing w:before="156" w:beforeLines="50" w:after="156" w:afterLines="50"/>
        <w:ind w:firstLine="420"/>
        <w:rPr>
          <w:rFonts w:ascii="宋体" w:hAnsi="宋体" w:cs="宋体"/>
          <w:szCs w:val="21"/>
          <w:u w:val="single"/>
        </w:rPr>
      </w:pPr>
      <w:r>
        <w:rPr>
          <w:rFonts w:hint="eastAsia" w:ascii="宋体" w:hAnsi="宋体" w:cs="宋体"/>
          <w:szCs w:val="21"/>
        </w:rPr>
        <w:t xml:space="preserve">住所地: </w:t>
      </w:r>
      <w:r>
        <w:rPr>
          <w:rFonts w:hint="eastAsia" w:ascii="宋体" w:hAnsi="宋体" w:cs="宋体"/>
          <w:szCs w:val="21"/>
          <w:u w:val="single"/>
        </w:rPr>
        <w:t>深圳市龙华区观湖街道鹭湖社区观盛三路10号龙馨家园A栋2101</w:t>
      </w:r>
    </w:p>
    <w:p w14:paraId="20785F25">
      <w:pPr>
        <w:adjustRightInd w:val="0"/>
        <w:snapToGrid w:val="0"/>
        <w:spacing w:before="156" w:beforeLines="50" w:after="156" w:afterLines="50"/>
        <w:ind w:firstLine="420"/>
        <w:rPr>
          <w:rFonts w:ascii="宋体" w:hAnsi="宋体" w:cs="宋体"/>
          <w:szCs w:val="21"/>
          <w:u w:val="single"/>
        </w:rPr>
      </w:pPr>
      <w:r>
        <w:rPr>
          <w:rFonts w:hint="eastAsia" w:ascii="宋体" w:hAnsi="宋体"/>
          <w:szCs w:val="21"/>
        </w:rPr>
        <w:t xml:space="preserve">乙方（受托人）: </w:t>
      </w:r>
      <w:r>
        <w:rPr>
          <w:rFonts w:hint="eastAsia" w:ascii="宋体" w:hAnsi="宋体"/>
          <w:szCs w:val="21"/>
          <w:u w:val="single"/>
          <w:lang w:eastAsia="zh-CN"/>
        </w:rPr>
        <w:t>XXXX</w:t>
      </w:r>
      <w:r>
        <w:rPr>
          <w:rFonts w:hint="eastAsia" w:ascii="宋体" w:hAnsi="宋体"/>
          <w:szCs w:val="21"/>
          <w:u w:val="single"/>
        </w:rPr>
        <w:t>有限公司</w:t>
      </w:r>
    </w:p>
    <w:p w14:paraId="44E6DBB1">
      <w:pPr>
        <w:adjustRightInd w:val="0"/>
        <w:snapToGrid w:val="0"/>
        <w:spacing w:before="156" w:beforeLines="50" w:after="156" w:afterLines="50"/>
        <w:ind w:firstLine="420"/>
        <w:rPr>
          <w:rFonts w:hint="default" w:ascii="宋体" w:hAnsi="宋体" w:eastAsia="宋体"/>
          <w:szCs w:val="21"/>
          <w:u w:val="single"/>
          <w:lang w:val="en-US" w:eastAsia="zh-CN"/>
        </w:rPr>
      </w:pPr>
      <w:r>
        <w:rPr>
          <w:rFonts w:hint="eastAsia" w:ascii="宋体" w:hAnsi="宋体"/>
          <w:szCs w:val="21"/>
        </w:rPr>
        <w:t xml:space="preserve">法定代表人: </w:t>
      </w:r>
      <w:r>
        <w:rPr>
          <w:rFonts w:hint="eastAsia" w:ascii="宋体" w:hAnsi="宋体"/>
          <w:szCs w:val="21"/>
          <w:u w:val="single"/>
          <w:lang w:val="en-US" w:eastAsia="zh-CN"/>
        </w:rPr>
        <w:t xml:space="preserve">    </w:t>
      </w:r>
    </w:p>
    <w:p w14:paraId="6786F98E">
      <w:pPr>
        <w:adjustRightInd w:val="0"/>
        <w:snapToGrid w:val="0"/>
        <w:spacing w:before="156" w:beforeLines="50" w:after="156" w:afterLines="50"/>
        <w:ind w:firstLine="420"/>
        <w:rPr>
          <w:rFonts w:hint="default" w:ascii="宋体" w:hAnsi="宋体" w:eastAsia="宋体"/>
          <w:szCs w:val="21"/>
          <w:u w:val="single"/>
          <w:lang w:val="en-US" w:eastAsia="zh-CN"/>
        </w:rPr>
      </w:pPr>
      <w:r>
        <w:rPr>
          <w:rFonts w:hint="eastAsia" w:ascii="宋体" w:hAnsi="宋体"/>
          <w:szCs w:val="21"/>
        </w:rPr>
        <w:t>住所地:</w:t>
      </w:r>
      <w:r>
        <w:rPr>
          <w:rFonts w:hint="eastAsia" w:ascii="宋体" w:hAnsi="宋体"/>
          <w:bCs/>
          <w:szCs w:val="21"/>
          <w:u w:val="single"/>
          <w:lang w:val="en-US" w:eastAsia="zh-CN"/>
        </w:rPr>
        <w:t xml:space="preserve">                                         </w:t>
      </w:r>
    </w:p>
    <w:p w14:paraId="402097C6">
      <w:pPr>
        <w:adjustRightInd w:val="0"/>
        <w:snapToGrid w:val="0"/>
        <w:spacing w:before="156" w:beforeLines="50" w:after="156" w:afterLines="50"/>
        <w:ind w:firstLine="420"/>
        <w:rPr>
          <w:rFonts w:ascii="宋体" w:hAnsi="宋体" w:cs="宋体"/>
          <w:szCs w:val="21"/>
        </w:rPr>
      </w:pPr>
      <w:r>
        <w:rPr>
          <w:rFonts w:hint="eastAsia" w:ascii="宋体" w:hAnsi="宋体" w:cs="宋体"/>
          <w:szCs w:val="21"/>
        </w:rPr>
        <w:t>根据《中华人民共和国民法典》及其他法律、行政法规，遵循平等、自愿、公平和诚实信用原则，甲乙双方就工程造价咨询服务事项协商一致，订立本合同，达成协议如下：</w:t>
      </w:r>
    </w:p>
    <w:p w14:paraId="3D6B62F1">
      <w:pPr>
        <w:snapToGrid w:val="0"/>
        <w:ind w:firstLine="428"/>
        <w:rPr>
          <w:rFonts w:ascii="宋体" w:hAnsi="宋体"/>
          <w:b/>
          <w:bCs/>
          <w:szCs w:val="21"/>
        </w:rPr>
      </w:pPr>
      <w:r>
        <w:rPr>
          <w:rFonts w:hint="eastAsia" w:ascii="宋体" w:hAnsi="宋体"/>
          <w:b/>
          <w:bCs/>
          <w:szCs w:val="21"/>
        </w:rPr>
        <w:t>一、甲方委托乙方为以下项目提供建设工程造价</w:t>
      </w:r>
      <w:r>
        <w:rPr>
          <w:rFonts w:hint="eastAsia" w:ascii="宋体" w:hAnsi="宋体"/>
          <w:b/>
          <w:bCs/>
          <w:szCs w:val="21"/>
          <w:lang w:eastAsia="zh-CN"/>
        </w:rPr>
        <w:t>审核</w:t>
      </w:r>
      <w:r>
        <w:rPr>
          <w:rFonts w:hint="eastAsia" w:ascii="宋体" w:hAnsi="宋体"/>
          <w:b/>
          <w:bCs/>
          <w:szCs w:val="21"/>
        </w:rPr>
        <w:t>服务：</w:t>
      </w:r>
    </w:p>
    <w:p w14:paraId="5BBF937D">
      <w:pPr>
        <w:snapToGrid w:val="0"/>
        <w:ind w:firstLine="428"/>
        <w:rPr>
          <w:rFonts w:ascii="宋体" w:hAnsi="宋体"/>
          <w:szCs w:val="21"/>
          <w:u w:val="single"/>
        </w:rPr>
      </w:pPr>
      <w:r>
        <w:rPr>
          <w:rFonts w:hint="eastAsia" w:ascii="宋体" w:hAnsi="宋体"/>
          <w:b/>
          <w:bCs/>
          <w:szCs w:val="21"/>
        </w:rPr>
        <w:t>1.工程名称：</w:t>
      </w:r>
      <w:r>
        <w:rPr>
          <w:rFonts w:hint="eastAsia" w:ascii="宋体" w:hAnsi="宋体"/>
          <w:szCs w:val="21"/>
          <w:u w:val="single"/>
          <w:lang w:eastAsia="zh-CN"/>
        </w:rPr>
        <w:t>国际医疗器械城工4地块项目（造价审核）</w:t>
      </w:r>
      <w:r>
        <w:rPr>
          <w:rFonts w:hint="eastAsia" w:ascii="宋体" w:hAnsi="宋体"/>
          <w:szCs w:val="21"/>
          <w:u w:val="single"/>
        </w:rPr>
        <w:t xml:space="preserve"> </w:t>
      </w:r>
    </w:p>
    <w:p w14:paraId="5F89F761">
      <w:pPr>
        <w:snapToGrid w:val="0"/>
        <w:ind w:firstLine="428"/>
        <w:rPr>
          <w:rFonts w:ascii="宋体" w:hAnsi="宋体"/>
          <w:szCs w:val="21"/>
          <w:u w:val="single"/>
        </w:rPr>
      </w:pPr>
      <w:r>
        <w:rPr>
          <w:rFonts w:hint="eastAsia" w:ascii="宋体" w:hAnsi="宋体"/>
          <w:b/>
          <w:bCs/>
          <w:szCs w:val="21"/>
        </w:rPr>
        <w:t>2.工程地点：</w:t>
      </w:r>
      <w:r>
        <w:rPr>
          <w:rFonts w:hint="eastAsia" w:ascii="宋体" w:hAnsi="宋体"/>
          <w:szCs w:val="21"/>
          <w:u w:val="single"/>
        </w:rPr>
        <w:t xml:space="preserve"> 深圳市龙华区  </w:t>
      </w:r>
    </w:p>
    <w:p w14:paraId="4AE41D54">
      <w:pPr>
        <w:snapToGrid w:val="0"/>
        <w:ind w:firstLine="428"/>
        <w:rPr>
          <w:rFonts w:ascii="宋体" w:hAnsi="宋体"/>
          <w:szCs w:val="21"/>
        </w:rPr>
      </w:pPr>
      <w:r>
        <w:rPr>
          <w:rFonts w:hint="eastAsia" w:ascii="宋体" w:hAnsi="宋体"/>
          <w:b/>
          <w:bCs/>
          <w:szCs w:val="21"/>
        </w:rPr>
        <w:t>3.服务范围：</w:t>
      </w:r>
      <w:r>
        <w:rPr>
          <w:rFonts w:hint="eastAsia" w:ascii="宋体" w:hAnsi="宋体"/>
          <w:b w:val="0"/>
          <w:bCs w:val="0"/>
          <w:szCs w:val="21"/>
          <w:u w:val="single"/>
        </w:rPr>
        <w:t>本次招标范围包括工4地块（11-17-1地块）预结算造价</w:t>
      </w:r>
      <w:r>
        <w:rPr>
          <w:rFonts w:hint="eastAsia" w:ascii="宋体" w:hAnsi="宋体"/>
          <w:b w:val="0"/>
          <w:bCs w:val="0"/>
          <w:szCs w:val="21"/>
          <w:u w:val="single"/>
          <w:lang w:eastAsia="zh-CN"/>
        </w:rPr>
        <w:t>审核</w:t>
      </w:r>
      <w:r>
        <w:rPr>
          <w:rFonts w:hint="eastAsia" w:ascii="宋体" w:hAnsi="宋体"/>
          <w:b w:val="0"/>
          <w:bCs w:val="0"/>
          <w:szCs w:val="21"/>
          <w:u w:val="single"/>
        </w:rPr>
        <w:t>，具体内容包括但不限于以下各项： 对甲方所委托的造价初审文件进行全面审查；与初审造价咨询单位核对、与承包商核对、按合同要求分别出具正式预结算</w:t>
      </w:r>
      <w:r>
        <w:rPr>
          <w:rFonts w:hint="eastAsia" w:ascii="宋体" w:hAnsi="宋体"/>
          <w:b w:val="0"/>
          <w:bCs w:val="0"/>
          <w:szCs w:val="21"/>
          <w:u w:val="single"/>
          <w:lang w:eastAsia="zh-CN"/>
        </w:rPr>
        <w:t>审核</w:t>
      </w:r>
      <w:r>
        <w:rPr>
          <w:rFonts w:hint="eastAsia" w:ascii="宋体" w:hAnsi="宋体"/>
          <w:b w:val="0"/>
          <w:bCs w:val="0"/>
          <w:szCs w:val="21"/>
          <w:u w:val="single"/>
        </w:rPr>
        <w:t>报告，并配合政府部门的审计工作；项目预结算</w:t>
      </w:r>
      <w:r>
        <w:rPr>
          <w:rFonts w:hint="eastAsia" w:ascii="宋体" w:hAnsi="宋体"/>
          <w:b w:val="0"/>
          <w:bCs w:val="0"/>
          <w:szCs w:val="21"/>
          <w:u w:val="single"/>
          <w:lang w:eastAsia="zh-CN"/>
        </w:rPr>
        <w:t>审核</w:t>
      </w:r>
      <w:r>
        <w:rPr>
          <w:rFonts w:hint="eastAsia" w:ascii="宋体" w:hAnsi="宋体"/>
          <w:b w:val="0"/>
          <w:bCs w:val="0"/>
          <w:szCs w:val="21"/>
          <w:u w:val="single"/>
        </w:rPr>
        <w:t>完成后，对整个项目发生的成本进行全面的、系统的评价和分析总结，形成成本后评估报告等。</w:t>
      </w:r>
      <w:r>
        <w:rPr>
          <w:rFonts w:hint="eastAsia" w:ascii="宋体" w:hAnsi="宋体"/>
          <w:szCs w:val="21"/>
          <w:u w:val="single"/>
        </w:rPr>
        <w:t>乙方需根据报送的施工图纸、工程资料、全过程造价咨询公司的预结算审核报告等资料，对报送的项目预算及结算进行</w:t>
      </w:r>
      <w:r>
        <w:rPr>
          <w:rFonts w:hint="eastAsia" w:ascii="宋体" w:hAnsi="宋体"/>
          <w:szCs w:val="21"/>
          <w:u w:val="single"/>
          <w:lang w:eastAsia="zh-CN"/>
        </w:rPr>
        <w:t>审核</w:t>
      </w:r>
      <w:r>
        <w:rPr>
          <w:rFonts w:hint="eastAsia" w:ascii="宋体" w:hAnsi="宋体"/>
          <w:szCs w:val="21"/>
          <w:u w:val="single"/>
        </w:rPr>
        <w:t>，按合同要求出具正式预结算</w:t>
      </w:r>
      <w:r>
        <w:rPr>
          <w:rFonts w:hint="eastAsia" w:ascii="宋体" w:hAnsi="宋体"/>
          <w:szCs w:val="21"/>
          <w:u w:val="single"/>
          <w:lang w:eastAsia="zh-CN"/>
        </w:rPr>
        <w:t>审核</w:t>
      </w:r>
      <w:r>
        <w:rPr>
          <w:rFonts w:hint="eastAsia" w:ascii="宋体" w:hAnsi="宋体"/>
          <w:szCs w:val="21"/>
          <w:u w:val="single"/>
        </w:rPr>
        <w:t>报告，并配合政府部门的审计工作（如有）</w:t>
      </w:r>
      <w:r>
        <w:rPr>
          <w:rFonts w:hint="eastAsia" w:ascii="宋体" w:hAnsi="宋体"/>
          <w:szCs w:val="21"/>
        </w:rPr>
        <w:t>。</w:t>
      </w:r>
    </w:p>
    <w:p w14:paraId="2C45F83B">
      <w:pPr>
        <w:spacing w:line="440" w:lineRule="exact"/>
        <w:ind w:firstLine="428"/>
        <w:rPr>
          <w:rFonts w:ascii="宋体" w:hAnsi="宋体" w:cs="宋体"/>
          <w:szCs w:val="21"/>
        </w:rPr>
      </w:pPr>
      <w:r>
        <w:rPr>
          <w:rFonts w:hint="eastAsia" w:ascii="宋体" w:hAnsi="宋体" w:cs="宋体"/>
          <w:b/>
          <w:szCs w:val="21"/>
        </w:rPr>
        <w:t>4.委托期限：</w:t>
      </w:r>
      <w:bookmarkStart w:id="1" w:name="_Toc35269015"/>
      <w:r>
        <w:rPr>
          <w:rFonts w:hint="eastAsia" w:ascii="宋体" w:hAnsi="宋体" w:cs="宋体"/>
          <w:szCs w:val="21"/>
        </w:rPr>
        <w:t>本合同约定的审核服务自合同签订之日开始，至受托人完成本合同约定的所有审核服务后结束。</w:t>
      </w:r>
      <w:bookmarkEnd w:id="1"/>
    </w:p>
    <w:p w14:paraId="1350CBAC">
      <w:pPr>
        <w:spacing w:line="440" w:lineRule="exact"/>
        <w:ind w:firstLine="428"/>
        <w:rPr>
          <w:rFonts w:ascii="宋体" w:hAnsi="宋体" w:cs="宋体"/>
          <w:b/>
          <w:szCs w:val="21"/>
        </w:rPr>
      </w:pPr>
      <w:r>
        <w:rPr>
          <w:rFonts w:hint="eastAsia" w:ascii="宋体" w:hAnsi="宋体" w:cs="宋体"/>
          <w:b/>
          <w:szCs w:val="21"/>
        </w:rPr>
        <w:t>二、咨询服务类别：</w:t>
      </w:r>
    </w:p>
    <w:p w14:paraId="1DA24FF7">
      <w:pPr>
        <w:spacing w:line="440" w:lineRule="exact"/>
        <w:ind w:firstLine="428"/>
        <w:rPr>
          <w:rFonts w:ascii="宋体" w:hAnsi="宋体" w:cs="宋体"/>
          <w:szCs w:val="21"/>
        </w:rPr>
      </w:pPr>
      <w:r>
        <w:rPr>
          <w:rFonts w:hint="eastAsia" w:ascii="宋体" w:hAnsi="宋体" w:cs="宋体"/>
          <w:b/>
          <w:bCs/>
          <w:szCs w:val="21"/>
        </w:rPr>
        <w:t>A类：</w:t>
      </w:r>
      <w:r>
        <w:rPr>
          <w:rFonts w:hint="eastAsia" w:ascii="宋体" w:hAnsi="宋体" w:cs="宋体"/>
          <w:szCs w:val="21"/>
        </w:rPr>
        <w:t>建设项目可行性研究投资估算：</w:t>
      </w:r>
    </w:p>
    <w:p w14:paraId="76E27F55">
      <w:pPr>
        <w:spacing w:line="440" w:lineRule="exact"/>
        <w:ind w:firstLine="428"/>
        <w:rPr>
          <w:rFonts w:ascii="宋体" w:hAnsi="宋体" w:cs="宋体"/>
          <w:szCs w:val="21"/>
        </w:rPr>
      </w:pPr>
      <w:r>
        <w:rPr>
          <w:rFonts w:hint="eastAsia" w:ascii="宋体" w:hAnsi="宋体" w:cs="宋体"/>
          <w:b/>
          <w:szCs w:val="21"/>
        </w:rPr>
        <w:t>［</w:t>
      </w:r>
      <w:bookmarkStart w:id="2" w:name="Text2"/>
      <w:r>
        <w:rPr>
          <w:rFonts w:hint="eastAsia" w:ascii="宋体" w:hAnsi="宋体" w:cs="宋体"/>
          <w:b/>
          <w:szCs w:val="21"/>
        </w:rPr>
        <w:fldChar w:fldCharType="begin">
          <w:ffData>
            <w:name w:val="Text2"/>
            <w:enabled/>
            <w:calcOnExit w:val="0"/>
            <w:textInput>
              <w:maxLength w:val="1"/>
            </w:textInput>
          </w:ffData>
        </w:fldChar>
      </w:r>
      <w:r>
        <w:rPr>
          <w:rFonts w:hint="eastAsia" w:ascii="宋体" w:hAnsi="宋体" w:cs="宋体"/>
          <w:b/>
          <w:szCs w:val="21"/>
        </w:rPr>
        <w:instrText xml:space="preserve"> FORMTEXT </w:instrText>
      </w:r>
      <w:r>
        <w:rPr>
          <w:rFonts w:hint="eastAsia" w:ascii="宋体" w:hAnsi="宋体" w:cs="宋体"/>
          <w:b/>
          <w:szCs w:val="21"/>
        </w:rPr>
        <w:fldChar w:fldCharType="separate"/>
      </w:r>
      <w:r>
        <w:rPr>
          <w:rFonts w:hint="eastAsia" w:ascii="宋体" w:hAnsi="宋体" w:cs="宋体"/>
          <w:b/>
          <w:szCs w:val="21"/>
        </w:rPr>
        <w:t> </w:t>
      </w:r>
      <w:r>
        <w:rPr>
          <w:rFonts w:hint="eastAsia" w:ascii="宋体" w:hAnsi="宋体" w:cs="宋体"/>
          <w:b/>
          <w:szCs w:val="21"/>
        </w:rPr>
        <w:fldChar w:fldCharType="end"/>
      </w:r>
      <w:bookmarkEnd w:id="2"/>
      <w:r>
        <w:rPr>
          <w:rFonts w:hint="eastAsia" w:ascii="宋体" w:hAnsi="宋体" w:cs="宋体"/>
          <w:b/>
          <w:szCs w:val="21"/>
        </w:rPr>
        <w:t>］</w:t>
      </w:r>
      <w:r>
        <w:rPr>
          <w:rFonts w:hint="eastAsia" w:ascii="宋体" w:hAnsi="宋体" w:cs="宋体"/>
          <w:szCs w:val="21"/>
        </w:rPr>
        <w:t>编制</w:t>
      </w:r>
    </w:p>
    <w:p w14:paraId="6A3BE074">
      <w:pPr>
        <w:spacing w:line="440" w:lineRule="exact"/>
        <w:ind w:firstLine="428"/>
        <w:rPr>
          <w:rFonts w:ascii="宋体" w:hAnsi="宋体" w:cs="宋体"/>
          <w:szCs w:val="21"/>
        </w:rPr>
      </w:pPr>
      <w:r>
        <w:rPr>
          <w:rFonts w:hint="eastAsia" w:ascii="宋体" w:hAnsi="宋体" w:cs="宋体"/>
          <w:b/>
          <w:szCs w:val="21"/>
        </w:rPr>
        <w:t>［</w:t>
      </w:r>
      <w:r>
        <w:rPr>
          <w:rFonts w:hint="eastAsia" w:ascii="宋体" w:hAnsi="宋体" w:cs="宋体"/>
          <w:b/>
          <w:szCs w:val="21"/>
        </w:rPr>
        <w:fldChar w:fldCharType="begin">
          <w:ffData>
            <w:name w:val="Text2"/>
            <w:enabled/>
            <w:calcOnExit w:val="0"/>
            <w:textInput>
              <w:maxLength w:val="1"/>
            </w:textInput>
          </w:ffData>
        </w:fldChar>
      </w:r>
      <w:r>
        <w:rPr>
          <w:rFonts w:hint="eastAsia" w:ascii="宋体" w:hAnsi="宋体" w:cs="宋体"/>
          <w:b/>
          <w:szCs w:val="21"/>
        </w:rPr>
        <w:instrText xml:space="preserve"> FORMTEXT </w:instrText>
      </w:r>
      <w:r>
        <w:rPr>
          <w:rFonts w:hint="eastAsia" w:ascii="宋体" w:hAnsi="宋体" w:cs="宋体"/>
          <w:b/>
          <w:szCs w:val="21"/>
        </w:rPr>
        <w:fldChar w:fldCharType="separate"/>
      </w:r>
      <w:r>
        <w:rPr>
          <w:rFonts w:hint="eastAsia" w:ascii="宋体" w:hAnsi="宋体" w:cs="宋体"/>
          <w:b/>
          <w:szCs w:val="21"/>
        </w:rPr>
        <w:t> </w:t>
      </w:r>
      <w:r>
        <w:rPr>
          <w:rFonts w:hint="eastAsia" w:ascii="宋体" w:hAnsi="宋体" w:cs="宋体"/>
          <w:b/>
          <w:szCs w:val="21"/>
        </w:rPr>
        <w:fldChar w:fldCharType="end"/>
      </w:r>
      <w:r>
        <w:rPr>
          <w:rFonts w:hint="eastAsia" w:ascii="宋体" w:hAnsi="宋体" w:cs="宋体"/>
          <w:b/>
          <w:szCs w:val="21"/>
        </w:rPr>
        <w:t>］</w:t>
      </w:r>
      <w:r>
        <w:rPr>
          <w:rFonts w:hint="eastAsia" w:ascii="宋体" w:hAnsi="宋体" w:cs="宋体"/>
          <w:szCs w:val="21"/>
        </w:rPr>
        <w:t>审核</w:t>
      </w:r>
    </w:p>
    <w:p w14:paraId="161EB6A8">
      <w:pPr>
        <w:spacing w:line="440" w:lineRule="exact"/>
        <w:ind w:firstLine="428"/>
        <w:rPr>
          <w:rFonts w:ascii="宋体" w:hAnsi="宋体" w:cs="宋体"/>
          <w:szCs w:val="21"/>
        </w:rPr>
      </w:pPr>
      <w:r>
        <w:rPr>
          <w:rFonts w:hint="eastAsia" w:ascii="宋体" w:hAnsi="宋体" w:cs="宋体"/>
          <w:b/>
          <w:szCs w:val="21"/>
        </w:rPr>
        <w:t>［</w:t>
      </w:r>
      <w:r>
        <w:rPr>
          <w:rFonts w:hint="eastAsia" w:ascii="宋体" w:hAnsi="宋体" w:cs="宋体"/>
          <w:b/>
          <w:szCs w:val="21"/>
        </w:rPr>
        <w:fldChar w:fldCharType="begin">
          <w:ffData>
            <w:name w:val="Text2"/>
            <w:enabled/>
            <w:calcOnExit w:val="0"/>
            <w:textInput>
              <w:maxLength w:val="1"/>
            </w:textInput>
          </w:ffData>
        </w:fldChar>
      </w:r>
      <w:r>
        <w:rPr>
          <w:rFonts w:hint="eastAsia" w:ascii="宋体" w:hAnsi="宋体" w:cs="宋体"/>
          <w:b/>
          <w:szCs w:val="21"/>
        </w:rPr>
        <w:instrText xml:space="preserve"> FORMTEXT </w:instrText>
      </w:r>
      <w:r>
        <w:rPr>
          <w:rFonts w:hint="eastAsia" w:ascii="宋体" w:hAnsi="宋体" w:cs="宋体"/>
          <w:b/>
          <w:szCs w:val="21"/>
        </w:rPr>
        <w:fldChar w:fldCharType="separate"/>
      </w:r>
      <w:r>
        <w:rPr>
          <w:rFonts w:hint="eastAsia" w:ascii="宋体" w:hAnsi="宋体" w:cs="宋体"/>
          <w:b/>
          <w:szCs w:val="21"/>
        </w:rPr>
        <w:t> </w:t>
      </w:r>
      <w:r>
        <w:rPr>
          <w:rFonts w:hint="eastAsia" w:ascii="宋体" w:hAnsi="宋体" w:cs="宋体"/>
          <w:b/>
          <w:szCs w:val="21"/>
        </w:rPr>
        <w:fldChar w:fldCharType="end"/>
      </w:r>
      <w:r>
        <w:rPr>
          <w:rFonts w:hint="eastAsia" w:ascii="宋体" w:hAnsi="宋体" w:cs="宋体"/>
          <w:b/>
          <w:szCs w:val="21"/>
        </w:rPr>
        <w:t>］</w:t>
      </w:r>
      <w:r>
        <w:rPr>
          <w:rFonts w:hint="eastAsia" w:ascii="宋体" w:hAnsi="宋体" w:cs="宋体"/>
          <w:szCs w:val="21"/>
        </w:rPr>
        <w:t>项目经济评价</w:t>
      </w:r>
    </w:p>
    <w:p w14:paraId="33520FD1">
      <w:pPr>
        <w:spacing w:line="440" w:lineRule="exact"/>
        <w:ind w:firstLine="428"/>
        <w:rPr>
          <w:rFonts w:ascii="宋体" w:hAnsi="宋体" w:cs="宋体"/>
          <w:b/>
          <w:bCs/>
          <w:szCs w:val="21"/>
        </w:rPr>
      </w:pPr>
      <w:r>
        <w:rPr>
          <w:rFonts w:hint="eastAsia" w:ascii="宋体" w:hAnsi="宋体" w:cs="宋体"/>
          <w:b/>
          <w:bCs/>
          <w:szCs w:val="21"/>
        </w:rPr>
        <w:t>B类：</w:t>
      </w:r>
    </w:p>
    <w:p w14:paraId="6E359506">
      <w:pPr>
        <w:spacing w:line="440" w:lineRule="exact"/>
        <w:ind w:firstLine="428"/>
        <w:rPr>
          <w:rFonts w:ascii="宋体" w:hAnsi="宋体" w:cs="宋体"/>
          <w:szCs w:val="21"/>
        </w:rPr>
      </w:pPr>
      <w:r>
        <w:rPr>
          <w:rFonts w:hint="eastAsia" w:ascii="宋体" w:hAnsi="宋体" w:cs="宋体"/>
          <w:b/>
          <w:szCs w:val="21"/>
        </w:rPr>
        <w:t>［</w:t>
      </w:r>
      <w:r>
        <w:rPr>
          <w:rFonts w:hint="eastAsia" w:ascii="宋体" w:hAnsi="宋体" w:cs="宋体"/>
          <w:b/>
          <w:szCs w:val="21"/>
        </w:rPr>
        <w:fldChar w:fldCharType="begin">
          <w:ffData>
            <w:name w:val="Text2"/>
            <w:enabled/>
            <w:calcOnExit w:val="0"/>
            <w:textInput>
              <w:maxLength w:val="1"/>
            </w:textInput>
          </w:ffData>
        </w:fldChar>
      </w:r>
      <w:r>
        <w:rPr>
          <w:rFonts w:hint="eastAsia" w:ascii="宋体" w:hAnsi="宋体" w:cs="宋体"/>
          <w:b/>
          <w:szCs w:val="21"/>
        </w:rPr>
        <w:instrText xml:space="preserve"> FORMTEXT </w:instrText>
      </w:r>
      <w:r>
        <w:rPr>
          <w:rFonts w:hint="eastAsia" w:ascii="宋体" w:hAnsi="宋体" w:cs="宋体"/>
          <w:b/>
          <w:szCs w:val="21"/>
        </w:rPr>
        <w:fldChar w:fldCharType="separate"/>
      </w:r>
      <w:r>
        <w:rPr>
          <w:rFonts w:hint="eastAsia" w:ascii="宋体" w:hAnsi="宋体" w:cs="宋体"/>
          <w:b/>
          <w:szCs w:val="21"/>
        </w:rPr>
        <w:t> </w:t>
      </w:r>
      <w:r>
        <w:rPr>
          <w:rFonts w:hint="eastAsia" w:ascii="宋体" w:hAnsi="宋体" w:cs="宋体"/>
          <w:b/>
          <w:szCs w:val="21"/>
        </w:rPr>
        <w:fldChar w:fldCharType="end"/>
      </w:r>
      <w:r>
        <w:rPr>
          <w:rFonts w:hint="eastAsia" w:ascii="宋体" w:hAnsi="宋体" w:cs="宋体"/>
          <w:b/>
          <w:szCs w:val="21"/>
        </w:rPr>
        <w:t>］</w:t>
      </w:r>
      <w:r>
        <w:rPr>
          <w:rFonts w:hint="eastAsia" w:ascii="宋体" w:hAnsi="宋体" w:cs="宋体"/>
          <w:szCs w:val="21"/>
        </w:rPr>
        <w:t>建设工程概算编制（审核）</w:t>
      </w:r>
    </w:p>
    <w:p w14:paraId="18A2E7B1">
      <w:pPr>
        <w:spacing w:line="440" w:lineRule="exact"/>
        <w:ind w:firstLine="428"/>
        <w:rPr>
          <w:rFonts w:ascii="宋体" w:hAnsi="宋体" w:cs="宋体"/>
          <w:szCs w:val="21"/>
        </w:rPr>
      </w:pPr>
      <w:r>
        <w:rPr>
          <w:rFonts w:hint="eastAsia" w:ascii="宋体" w:hAnsi="宋体" w:cs="宋体"/>
          <w:b/>
          <w:szCs w:val="21"/>
        </w:rPr>
        <w:t>［√］</w:t>
      </w:r>
      <w:r>
        <w:rPr>
          <w:rFonts w:hint="eastAsia" w:ascii="宋体" w:hAnsi="宋体" w:cs="宋体"/>
          <w:b/>
          <w:bCs/>
          <w:szCs w:val="21"/>
        </w:rPr>
        <w:t>建设工程预算编制（</w:t>
      </w:r>
      <w:r>
        <w:rPr>
          <w:rFonts w:hint="eastAsia" w:ascii="宋体" w:hAnsi="宋体" w:cs="宋体"/>
          <w:b/>
          <w:szCs w:val="21"/>
          <w:lang w:eastAsia="zh-CN"/>
        </w:rPr>
        <w:t>审核</w:t>
      </w:r>
      <w:r>
        <w:rPr>
          <w:rFonts w:hint="eastAsia" w:ascii="宋体" w:hAnsi="宋体" w:cs="宋体"/>
          <w:b/>
          <w:bCs/>
          <w:szCs w:val="21"/>
        </w:rPr>
        <w:t>）</w:t>
      </w:r>
    </w:p>
    <w:p w14:paraId="3C9F22FB">
      <w:pPr>
        <w:spacing w:line="440" w:lineRule="exact"/>
        <w:ind w:firstLine="428"/>
        <w:rPr>
          <w:rFonts w:ascii="宋体" w:hAnsi="宋体" w:cs="宋体"/>
          <w:szCs w:val="21"/>
        </w:rPr>
      </w:pPr>
      <w:r>
        <w:rPr>
          <w:rFonts w:hint="eastAsia" w:ascii="宋体" w:hAnsi="宋体" w:cs="宋体"/>
          <w:b/>
          <w:szCs w:val="21"/>
        </w:rPr>
        <w:t>［√］建设工程结算审核（</w:t>
      </w:r>
      <w:r>
        <w:rPr>
          <w:rFonts w:hint="eastAsia" w:ascii="宋体" w:hAnsi="宋体" w:cs="宋体"/>
          <w:b/>
          <w:szCs w:val="21"/>
          <w:lang w:eastAsia="zh-CN"/>
        </w:rPr>
        <w:t>审核</w:t>
      </w:r>
      <w:r>
        <w:rPr>
          <w:rFonts w:hint="eastAsia" w:ascii="宋体" w:hAnsi="宋体" w:cs="宋体"/>
          <w:b/>
          <w:szCs w:val="21"/>
        </w:rPr>
        <w:t>）</w:t>
      </w:r>
    </w:p>
    <w:p w14:paraId="400DBB12">
      <w:pPr>
        <w:spacing w:line="440" w:lineRule="exact"/>
        <w:ind w:left="1" w:firstLine="428"/>
        <w:rPr>
          <w:rFonts w:ascii="宋体" w:hAnsi="宋体" w:cs="宋体"/>
          <w:b/>
          <w:bCs/>
          <w:szCs w:val="21"/>
        </w:rPr>
      </w:pPr>
      <w:r>
        <w:rPr>
          <w:rFonts w:hint="eastAsia" w:ascii="宋体" w:hAnsi="宋体" w:cs="宋体"/>
          <w:b/>
          <w:bCs/>
          <w:szCs w:val="21"/>
        </w:rPr>
        <w:t>C类：</w:t>
      </w:r>
    </w:p>
    <w:p w14:paraId="69CE6ABE">
      <w:pPr>
        <w:spacing w:line="440" w:lineRule="exact"/>
        <w:ind w:left="1" w:firstLine="428"/>
        <w:rPr>
          <w:rFonts w:ascii="宋体" w:hAnsi="宋体" w:cs="宋体"/>
          <w:szCs w:val="21"/>
        </w:rPr>
      </w:pPr>
      <w:r>
        <w:rPr>
          <w:rFonts w:hint="eastAsia" w:ascii="宋体" w:hAnsi="宋体" w:cs="宋体"/>
          <w:b/>
          <w:szCs w:val="21"/>
        </w:rPr>
        <w:t>［</w:t>
      </w:r>
      <w:r>
        <w:rPr>
          <w:rFonts w:hint="eastAsia" w:ascii="宋体" w:hAnsi="宋体" w:cs="宋体"/>
          <w:b/>
          <w:szCs w:val="21"/>
        </w:rPr>
        <w:fldChar w:fldCharType="begin">
          <w:ffData>
            <w:name w:val="Text2"/>
            <w:enabled/>
            <w:calcOnExit w:val="0"/>
            <w:textInput>
              <w:maxLength w:val="1"/>
            </w:textInput>
          </w:ffData>
        </w:fldChar>
      </w:r>
      <w:r>
        <w:rPr>
          <w:rFonts w:hint="eastAsia" w:ascii="宋体" w:hAnsi="宋体" w:cs="宋体"/>
          <w:b/>
          <w:szCs w:val="21"/>
        </w:rPr>
        <w:instrText xml:space="preserve"> FORMTEXT </w:instrText>
      </w:r>
      <w:r>
        <w:rPr>
          <w:rFonts w:hint="eastAsia" w:ascii="宋体" w:hAnsi="宋体" w:cs="宋体"/>
          <w:b/>
          <w:szCs w:val="21"/>
        </w:rPr>
        <w:fldChar w:fldCharType="separate"/>
      </w:r>
      <w:r>
        <w:rPr>
          <w:rFonts w:hint="eastAsia" w:ascii="宋体" w:hAnsi="宋体" w:cs="宋体"/>
          <w:b/>
          <w:szCs w:val="21"/>
        </w:rPr>
        <w:t> </w:t>
      </w:r>
      <w:r>
        <w:rPr>
          <w:rFonts w:hint="eastAsia" w:ascii="宋体" w:hAnsi="宋体" w:cs="宋体"/>
          <w:b/>
          <w:szCs w:val="21"/>
        </w:rPr>
        <w:fldChar w:fldCharType="end"/>
      </w:r>
      <w:r>
        <w:rPr>
          <w:rFonts w:hint="eastAsia" w:ascii="宋体" w:hAnsi="宋体" w:cs="宋体"/>
          <w:b/>
          <w:szCs w:val="21"/>
        </w:rPr>
        <w:t>］</w:t>
      </w:r>
      <w:r>
        <w:rPr>
          <w:rFonts w:hint="eastAsia" w:ascii="宋体" w:hAnsi="宋体" w:cs="宋体"/>
          <w:szCs w:val="21"/>
        </w:rPr>
        <w:t>建设工程招标工程量清单及标底编制（审核）</w:t>
      </w:r>
    </w:p>
    <w:p w14:paraId="2EE1E69F">
      <w:pPr>
        <w:spacing w:line="440" w:lineRule="exact"/>
        <w:ind w:left="1" w:firstLine="428"/>
        <w:rPr>
          <w:rFonts w:ascii="宋体" w:hAnsi="宋体" w:cs="宋体"/>
          <w:szCs w:val="21"/>
        </w:rPr>
      </w:pPr>
      <w:r>
        <w:rPr>
          <w:rFonts w:hint="eastAsia" w:ascii="宋体" w:hAnsi="宋体" w:cs="宋体"/>
          <w:b/>
          <w:szCs w:val="21"/>
        </w:rPr>
        <w:t>［</w:t>
      </w:r>
      <w:r>
        <w:rPr>
          <w:rFonts w:hint="eastAsia" w:ascii="宋体" w:hAnsi="宋体" w:cs="宋体"/>
          <w:b/>
          <w:szCs w:val="21"/>
        </w:rPr>
        <w:fldChar w:fldCharType="begin">
          <w:ffData>
            <w:name w:val="Text2"/>
            <w:enabled/>
            <w:calcOnExit w:val="0"/>
            <w:textInput>
              <w:maxLength w:val="1"/>
            </w:textInput>
          </w:ffData>
        </w:fldChar>
      </w:r>
      <w:r>
        <w:rPr>
          <w:rFonts w:hint="eastAsia" w:ascii="宋体" w:hAnsi="宋体" w:cs="宋体"/>
          <w:b/>
          <w:szCs w:val="21"/>
        </w:rPr>
        <w:instrText xml:space="preserve"> FORMTEXT </w:instrText>
      </w:r>
      <w:r>
        <w:rPr>
          <w:rFonts w:hint="eastAsia" w:ascii="宋体" w:hAnsi="宋体" w:cs="宋体"/>
          <w:b/>
          <w:szCs w:val="21"/>
        </w:rPr>
        <w:fldChar w:fldCharType="separate"/>
      </w:r>
      <w:r>
        <w:rPr>
          <w:rFonts w:hint="eastAsia" w:ascii="宋体" w:hAnsi="宋体" w:cs="宋体"/>
          <w:b/>
          <w:szCs w:val="21"/>
        </w:rPr>
        <w:t> </w:t>
      </w:r>
      <w:r>
        <w:rPr>
          <w:rFonts w:hint="eastAsia" w:ascii="宋体" w:hAnsi="宋体" w:cs="宋体"/>
          <w:b/>
          <w:szCs w:val="21"/>
        </w:rPr>
        <w:fldChar w:fldCharType="end"/>
      </w:r>
      <w:r>
        <w:rPr>
          <w:rFonts w:hint="eastAsia" w:ascii="宋体" w:hAnsi="宋体" w:cs="宋体"/>
          <w:b/>
          <w:szCs w:val="21"/>
        </w:rPr>
        <w:t>］</w:t>
      </w:r>
      <w:r>
        <w:rPr>
          <w:rFonts w:hint="eastAsia" w:ascii="宋体" w:hAnsi="宋体" w:cs="宋体"/>
          <w:szCs w:val="21"/>
        </w:rPr>
        <w:t>建设工程招标标底编制（审核）</w:t>
      </w:r>
    </w:p>
    <w:p w14:paraId="2B59354F">
      <w:pPr>
        <w:spacing w:line="440" w:lineRule="exact"/>
        <w:ind w:firstLine="428"/>
        <w:rPr>
          <w:rFonts w:ascii="宋体" w:hAnsi="宋体" w:cs="宋体"/>
          <w:b/>
          <w:bCs/>
          <w:szCs w:val="21"/>
        </w:rPr>
      </w:pPr>
      <w:r>
        <w:rPr>
          <w:rFonts w:hint="eastAsia" w:ascii="宋体" w:hAnsi="宋体" w:cs="宋体"/>
          <w:b/>
          <w:bCs/>
          <w:szCs w:val="21"/>
        </w:rPr>
        <w:t>D类：</w:t>
      </w:r>
    </w:p>
    <w:p w14:paraId="185EDF7C">
      <w:pPr>
        <w:spacing w:line="440" w:lineRule="exact"/>
        <w:ind w:firstLine="428"/>
        <w:rPr>
          <w:rFonts w:ascii="宋体" w:hAnsi="宋体" w:cs="宋体"/>
          <w:szCs w:val="21"/>
        </w:rPr>
      </w:pPr>
      <w:r>
        <w:rPr>
          <w:rFonts w:hint="eastAsia" w:ascii="宋体" w:hAnsi="宋体" w:cs="宋体"/>
          <w:b/>
          <w:szCs w:val="21"/>
        </w:rPr>
        <w:t>［</w:t>
      </w:r>
      <w:r>
        <w:rPr>
          <w:rFonts w:hint="eastAsia" w:ascii="宋体" w:hAnsi="宋体" w:cs="宋体"/>
          <w:b/>
          <w:szCs w:val="21"/>
        </w:rPr>
        <w:fldChar w:fldCharType="begin">
          <w:ffData>
            <w:enabled/>
            <w:calcOnExit w:val="0"/>
            <w:textInput>
              <w:maxLength w:val="1"/>
            </w:textInput>
          </w:ffData>
        </w:fldChar>
      </w:r>
      <w:r>
        <w:rPr>
          <w:rFonts w:hint="eastAsia" w:ascii="宋体" w:hAnsi="宋体" w:cs="宋体"/>
          <w:b/>
          <w:szCs w:val="21"/>
        </w:rPr>
        <w:instrText xml:space="preserve"> FORMTEXT </w:instrText>
      </w:r>
      <w:r>
        <w:rPr>
          <w:rFonts w:hint="eastAsia" w:ascii="宋体" w:hAnsi="宋体" w:cs="宋体"/>
          <w:b/>
          <w:szCs w:val="21"/>
        </w:rPr>
        <w:fldChar w:fldCharType="separate"/>
      </w:r>
      <w:r>
        <w:rPr>
          <w:rFonts w:hint="eastAsia" w:ascii="宋体" w:hAnsi="宋体" w:cs="宋体"/>
          <w:b/>
          <w:szCs w:val="21"/>
        </w:rPr>
        <w:t> </w:t>
      </w:r>
      <w:r>
        <w:rPr>
          <w:rFonts w:hint="eastAsia" w:ascii="宋体" w:hAnsi="宋体" w:cs="宋体"/>
          <w:b/>
          <w:szCs w:val="21"/>
        </w:rPr>
        <w:fldChar w:fldCharType="end"/>
      </w:r>
      <w:r>
        <w:rPr>
          <w:rFonts w:hint="eastAsia" w:ascii="宋体" w:hAnsi="宋体" w:cs="宋体"/>
          <w:b/>
          <w:szCs w:val="21"/>
        </w:rPr>
        <w:t>］</w:t>
      </w:r>
      <w:r>
        <w:rPr>
          <w:rFonts w:hint="eastAsia" w:ascii="宋体" w:hAnsi="宋体" w:cs="宋体"/>
          <w:szCs w:val="21"/>
        </w:rPr>
        <w:t>工程洽商、变更及合同争议的鉴定与索赔。</w:t>
      </w:r>
    </w:p>
    <w:p w14:paraId="0AB04BFA">
      <w:pPr>
        <w:spacing w:line="440" w:lineRule="exact"/>
        <w:ind w:firstLine="428"/>
        <w:rPr>
          <w:rFonts w:ascii="宋体" w:hAnsi="宋体" w:cs="宋体"/>
          <w:b/>
          <w:bCs/>
          <w:szCs w:val="21"/>
        </w:rPr>
      </w:pPr>
      <w:r>
        <w:rPr>
          <w:rFonts w:hint="eastAsia" w:ascii="宋体" w:hAnsi="宋体" w:cs="宋体"/>
          <w:b/>
          <w:bCs/>
          <w:szCs w:val="21"/>
        </w:rPr>
        <w:t>E类：</w:t>
      </w:r>
    </w:p>
    <w:p w14:paraId="285F6494">
      <w:pPr>
        <w:spacing w:line="440" w:lineRule="exact"/>
        <w:ind w:firstLine="428"/>
        <w:rPr>
          <w:rFonts w:ascii="宋体" w:hAnsi="宋体" w:cs="宋体"/>
          <w:szCs w:val="21"/>
        </w:rPr>
      </w:pPr>
      <w:r>
        <w:rPr>
          <w:rFonts w:hint="eastAsia" w:ascii="宋体" w:hAnsi="宋体" w:cs="宋体"/>
          <w:b/>
          <w:szCs w:val="21"/>
        </w:rPr>
        <w:t>［</w:t>
      </w:r>
      <w:r>
        <w:rPr>
          <w:rFonts w:hint="eastAsia" w:ascii="宋体" w:hAnsi="宋体" w:cs="宋体"/>
          <w:b/>
          <w:szCs w:val="21"/>
        </w:rPr>
        <w:fldChar w:fldCharType="begin">
          <w:ffData>
            <w:enabled/>
            <w:calcOnExit w:val="0"/>
            <w:textInput>
              <w:maxLength w:val="1"/>
            </w:textInput>
          </w:ffData>
        </w:fldChar>
      </w:r>
      <w:r>
        <w:rPr>
          <w:rFonts w:hint="eastAsia" w:ascii="宋体" w:hAnsi="宋体" w:cs="宋体"/>
          <w:b/>
          <w:szCs w:val="21"/>
        </w:rPr>
        <w:instrText xml:space="preserve"> FORMTEXT </w:instrText>
      </w:r>
      <w:r>
        <w:rPr>
          <w:rFonts w:hint="eastAsia" w:ascii="宋体" w:hAnsi="宋体" w:cs="宋体"/>
          <w:b/>
          <w:szCs w:val="21"/>
        </w:rPr>
        <w:fldChar w:fldCharType="separate"/>
      </w:r>
      <w:r>
        <w:rPr>
          <w:rFonts w:hint="eastAsia" w:ascii="宋体" w:hAnsi="宋体" w:cs="宋体"/>
          <w:b/>
          <w:szCs w:val="21"/>
        </w:rPr>
        <w:t> </w:t>
      </w:r>
      <w:r>
        <w:rPr>
          <w:rFonts w:hint="eastAsia" w:ascii="宋体" w:hAnsi="宋体" w:cs="宋体"/>
          <w:b/>
          <w:szCs w:val="21"/>
        </w:rPr>
        <w:fldChar w:fldCharType="end"/>
      </w:r>
      <w:r>
        <w:rPr>
          <w:rFonts w:hint="eastAsia" w:ascii="宋体" w:hAnsi="宋体" w:cs="宋体"/>
          <w:b/>
          <w:szCs w:val="21"/>
        </w:rPr>
        <w:t>］</w:t>
      </w:r>
      <w:r>
        <w:rPr>
          <w:rFonts w:hint="eastAsia" w:ascii="宋体" w:hAnsi="宋体" w:cs="宋体"/>
          <w:szCs w:val="21"/>
        </w:rPr>
        <w:t>编制工程造价计价依据及对工程造价进行监控和提供有关工程造价信息资料等。</w:t>
      </w:r>
    </w:p>
    <w:p w14:paraId="6EA2426D">
      <w:pPr>
        <w:spacing w:line="440" w:lineRule="exact"/>
        <w:ind w:firstLine="428"/>
        <w:rPr>
          <w:rFonts w:ascii="宋体" w:hAnsi="宋体" w:cs="宋体"/>
          <w:b/>
          <w:bCs/>
          <w:szCs w:val="21"/>
        </w:rPr>
      </w:pPr>
      <w:r>
        <w:rPr>
          <w:rFonts w:ascii="宋体" w:hAnsi="宋体" w:cs="宋体"/>
          <w:b/>
          <w:bCs/>
          <w:szCs w:val="21"/>
        </w:rPr>
        <w:t>F类：</w:t>
      </w:r>
    </w:p>
    <w:p w14:paraId="61DB466F">
      <w:pPr>
        <w:spacing w:line="440" w:lineRule="exact"/>
        <w:ind w:firstLine="420"/>
        <w:rPr>
          <w:rFonts w:ascii="宋体" w:hAnsi="宋体" w:cs="宋体"/>
          <w:b/>
          <w:szCs w:val="21"/>
        </w:rPr>
      </w:pPr>
      <w:r>
        <w:rPr>
          <w:rFonts w:hint="eastAsia" w:ascii="宋体" w:hAnsi="宋体" w:cs="宋体"/>
          <w:szCs w:val="21"/>
        </w:rPr>
        <w:t>［</w:t>
      </w:r>
      <w:r>
        <w:rPr>
          <w:rFonts w:hint="eastAsia" w:ascii="宋体" w:hAnsi="宋体" w:cs="宋体"/>
          <w:szCs w:val="21"/>
        </w:rPr>
        <w:fldChar w:fldCharType="begin">
          <w:ffData>
            <w:enabled/>
            <w:calcOnExit w:val="0"/>
            <w:textInput>
              <w:maxLength w:val="1"/>
            </w:textInput>
          </w:ffData>
        </w:fldChar>
      </w:r>
      <w:r>
        <w:rPr>
          <w:rFonts w:hint="eastAsia" w:ascii="宋体" w:hAnsi="宋体" w:cs="宋体"/>
          <w:szCs w:val="21"/>
        </w:rPr>
        <w:instrText xml:space="preserve"> FORMTEXT </w:instrText>
      </w:r>
      <w:r>
        <w:rPr>
          <w:rFonts w:hint="eastAsia" w:ascii="宋体" w:hAnsi="宋体" w:cs="宋体"/>
          <w:szCs w:val="21"/>
        </w:rPr>
        <w:fldChar w:fldCharType="separate"/>
      </w:r>
      <w:r>
        <w:rPr>
          <w:rFonts w:hint="eastAsia" w:ascii="宋体" w:hAnsi="宋体" w:cs="宋体"/>
          <w:szCs w:val="21"/>
        </w:rPr>
        <w:t> </w:t>
      </w:r>
      <w:r>
        <w:rPr>
          <w:rFonts w:hint="eastAsia" w:ascii="宋体" w:hAnsi="宋体" w:cs="宋体"/>
          <w:szCs w:val="21"/>
        </w:rPr>
        <w:fldChar w:fldCharType="end"/>
      </w:r>
      <w:r>
        <w:rPr>
          <w:rFonts w:hint="eastAsia" w:ascii="宋体" w:hAnsi="宋体" w:cs="宋体"/>
          <w:szCs w:val="21"/>
        </w:rPr>
        <w:t>］全过程造价咨询。</w:t>
      </w:r>
    </w:p>
    <w:p w14:paraId="3429ED76">
      <w:pPr>
        <w:spacing w:line="440" w:lineRule="exact"/>
        <w:ind w:firstLine="420"/>
        <w:rPr>
          <w:rFonts w:ascii="宋体" w:hAnsi="宋体" w:cs="宋体"/>
          <w:szCs w:val="21"/>
        </w:rPr>
      </w:pPr>
      <w:r>
        <w:rPr>
          <w:rFonts w:hint="eastAsia" w:ascii="宋体" w:hAnsi="宋体" w:cs="宋体"/>
          <w:szCs w:val="21"/>
        </w:rPr>
        <w:t>其他：</w:t>
      </w:r>
    </w:p>
    <w:p w14:paraId="4787993D">
      <w:pPr>
        <w:widowControl w:val="0"/>
        <w:autoSpaceDE w:val="0"/>
        <w:autoSpaceDN w:val="0"/>
        <w:adjustRightInd w:val="0"/>
        <w:snapToGrid w:val="0"/>
        <w:ind w:firstLine="428"/>
        <w:rPr>
          <w:rFonts w:ascii="宋体" w:hAnsi="宋体"/>
          <w:b/>
          <w:bCs/>
          <w:szCs w:val="21"/>
        </w:rPr>
      </w:pPr>
      <w:r>
        <w:rPr>
          <w:rFonts w:hint="eastAsia" w:ascii="宋体" w:hAnsi="宋体"/>
          <w:b/>
          <w:bCs/>
          <w:szCs w:val="21"/>
        </w:rPr>
        <w:t>三、具体工作内容</w:t>
      </w:r>
    </w:p>
    <w:p w14:paraId="380E9D0A">
      <w:pPr>
        <w:snapToGrid w:val="0"/>
        <w:ind w:firstLine="420"/>
        <w:rPr>
          <w:rFonts w:ascii="宋体" w:hAnsi="宋体"/>
          <w:szCs w:val="21"/>
        </w:rPr>
      </w:pPr>
      <w:r>
        <w:rPr>
          <w:rFonts w:hint="eastAsia" w:ascii="宋体" w:hAnsi="宋体"/>
          <w:szCs w:val="21"/>
        </w:rPr>
        <w:t>1.甲方将根据工程进展需要，以书面形式向乙方发出《造价咨询任务单》，乙方收到《造价咨询任务单》后，方可对列明的项目开展造价咨询工作；</w:t>
      </w:r>
    </w:p>
    <w:p w14:paraId="23AB6758">
      <w:pPr>
        <w:snapToGrid w:val="0"/>
        <w:ind w:firstLine="420"/>
        <w:rPr>
          <w:rFonts w:ascii="宋体" w:hAnsi="宋体"/>
          <w:szCs w:val="21"/>
        </w:rPr>
      </w:pPr>
      <w:r>
        <w:rPr>
          <w:rFonts w:hint="eastAsia" w:ascii="宋体" w:hAnsi="宋体"/>
          <w:szCs w:val="21"/>
        </w:rPr>
        <w:t>2.乙方与施工方及初审单位（指完成造价初审的造价咨询单位）的工程资料移交、</w:t>
      </w:r>
      <w:r>
        <w:rPr>
          <w:rFonts w:hint="eastAsia" w:ascii="宋体" w:hAnsi="宋体"/>
          <w:szCs w:val="21"/>
          <w:lang w:eastAsia="zh-CN"/>
        </w:rPr>
        <w:t>审核</w:t>
      </w:r>
      <w:r>
        <w:rPr>
          <w:rFonts w:hint="eastAsia" w:ascii="宋体" w:hAnsi="宋体"/>
          <w:szCs w:val="21"/>
        </w:rPr>
        <w:t>意见反馈、澄清、补充及核定事宜均应以邮件或函件的形式与由甲方人员进行沟通；</w:t>
      </w:r>
    </w:p>
    <w:p w14:paraId="01A8653A">
      <w:pPr>
        <w:snapToGrid w:val="0"/>
        <w:ind w:firstLine="420"/>
        <w:rPr>
          <w:rFonts w:ascii="宋体" w:hAnsi="宋体"/>
          <w:szCs w:val="21"/>
        </w:rPr>
      </w:pPr>
      <w:r>
        <w:rPr>
          <w:rFonts w:hint="eastAsia" w:ascii="宋体" w:hAnsi="宋体"/>
          <w:szCs w:val="21"/>
        </w:rPr>
        <w:t>3.乙方依据甲方预结算审核交底内容，制定预结算审核进度计划，并交由甲方成本人员审定后实施；</w:t>
      </w:r>
    </w:p>
    <w:p w14:paraId="344015C6">
      <w:pPr>
        <w:snapToGrid w:val="0"/>
        <w:ind w:firstLine="420"/>
        <w:rPr>
          <w:rFonts w:ascii="宋体" w:hAnsi="宋体"/>
          <w:szCs w:val="21"/>
        </w:rPr>
      </w:pPr>
      <w:r>
        <w:rPr>
          <w:rFonts w:hint="eastAsia" w:ascii="宋体" w:hAnsi="宋体"/>
          <w:szCs w:val="21"/>
        </w:rPr>
        <w:t>4.乙方依据</w:t>
      </w:r>
      <w:r>
        <w:rPr>
          <w:rFonts w:hint="eastAsia" w:ascii="宋体" w:hAnsi="宋体"/>
          <w:szCs w:val="21"/>
          <w:lang w:eastAsia="zh-CN"/>
        </w:rPr>
        <w:t>审核</w:t>
      </w:r>
      <w:r>
        <w:rPr>
          <w:rFonts w:hint="eastAsia" w:ascii="宋体" w:hAnsi="宋体"/>
          <w:szCs w:val="21"/>
        </w:rPr>
        <w:t>工作要求，对造价初审文件进行全面复核，严格按照国家及深圳市有关部门的规定审核定额套用是否合理，工程量计算是否准确，并形成量价对比记录表，分析量价差异原因，提出审核意见；</w:t>
      </w:r>
    </w:p>
    <w:p w14:paraId="19900D26">
      <w:pPr>
        <w:snapToGrid w:val="0"/>
        <w:ind w:firstLine="420"/>
        <w:rPr>
          <w:rFonts w:ascii="宋体" w:hAnsi="宋体"/>
          <w:szCs w:val="21"/>
        </w:rPr>
      </w:pPr>
      <w:r>
        <w:rPr>
          <w:rFonts w:hint="eastAsia" w:ascii="宋体" w:hAnsi="宋体"/>
          <w:szCs w:val="21"/>
        </w:rPr>
        <w:t>5.提供主要材料、设备数量及价格清单，并提交询价或计价依据；</w:t>
      </w:r>
    </w:p>
    <w:p w14:paraId="46551CF8">
      <w:pPr>
        <w:snapToGrid w:val="0"/>
        <w:ind w:firstLine="420"/>
        <w:rPr>
          <w:rFonts w:ascii="宋体" w:hAnsi="宋体"/>
          <w:szCs w:val="21"/>
        </w:rPr>
      </w:pPr>
      <w:r>
        <w:rPr>
          <w:rFonts w:hint="eastAsia" w:ascii="宋体" w:hAnsi="宋体"/>
          <w:szCs w:val="21"/>
        </w:rPr>
        <w:t>6.提供工程造价政策、材料、设备（市场）价格信息等工程造价信息咨询服务；</w:t>
      </w:r>
    </w:p>
    <w:p w14:paraId="4A453417">
      <w:pPr>
        <w:snapToGrid w:val="0"/>
        <w:ind w:firstLine="420"/>
        <w:rPr>
          <w:rFonts w:ascii="宋体" w:hAnsi="宋体"/>
          <w:szCs w:val="21"/>
        </w:rPr>
      </w:pPr>
      <w:r>
        <w:rPr>
          <w:rFonts w:hint="eastAsia" w:ascii="宋体" w:hAnsi="宋体"/>
          <w:szCs w:val="21"/>
        </w:rPr>
        <w:t>7.负责与施工单位或全过程造价咨询单位核对确认，并出具有效的成果文件，提出合同管理及执行情况的专题报告；</w:t>
      </w:r>
    </w:p>
    <w:p w14:paraId="5BEC3E5B">
      <w:pPr>
        <w:snapToGrid w:val="0"/>
        <w:ind w:firstLine="420"/>
        <w:rPr>
          <w:rFonts w:ascii="宋体" w:hAnsi="宋体"/>
          <w:szCs w:val="21"/>
        </w:rPr>
      </w:pPr>
      <w:r>
        <w:rPr>
          <w:rFonts w:hint="eastAsia" w:ascii="宋体" w:hAnsi="宋体"/>
          <w:szCs w:val="21"/>
        </w:rPr>
        <w:t>8.</w:t>
      </w:r>
      <w:r>
        <w:rPr>
          <w:rFonts w:hint="eastAsia" w:ascii="宋体" w:hAnsi="宋体"/>
          <w:szCs w:val="21"/>
          <w:lang w:eastAsia="zh-CN"/>
        </w:rPr>
        <w:t>审核</w:t>
      </w:r>
      <w:r>
        <w:rPr>
          <w:rFonts w:hint="eastAsia" w:ascii="宋体" w:hAnsi="宋体"/>
          <w:szCs w:val="21"/>
        </w:rPr>
        <w:t>完成后，按甲方要求完成经济技术指标的分析，按甲方的要求编制或审核项目后评估报告及项目成本复盘报告；</w:t>
      </w:r>
    </w:p>
    <w:p w14:paraId="11210766">
      <w:pPr>
        <w:snapToGrid w:val="0"/>
        <w:ind w:firstLine="420"/>
        <w:rPr>
          <w:rFonts w:ascii="宋体" w:hAnsi="宋体"/>
          <w:szCs w:val="21"/>
        </w:rPr>
      </w:pPr>
      <w:r>
        <w:rPr>
          <w:rFonts w:hint="eastAsia" w:ascii="宋体" w:hAnsi="宋体"/>
          <w:szCs w:val="21"/>
        </w:rPr>
        <w:t>9.主动、及时地发现并向甲方汇报任何可能影响成本管控的事项，提出相关改善建议；</w:t>
      </w:r>
    </w:p>
    <w:p w14:paraId="3B257B78">
      <w:pPr>
        <w:snapToGrid w:val="0"/>
        <w:ind w:firstLine="420"/>
        <w:rPr>
          <w:rFonts w:ascii="宋体" w:hAnsi="宋体"/>
          <w:szCs w:val="21"/>
        </w:rPr>
      </w:pPr>
      <w:r>
        <w:rPr>
          <w:rFonts w:hint="eastAsia" w:ascii="宋体" w:hAnsi="宋体"/>
          <w:szCs w:val="21"/>
        </w:rPr>
        <w:t>10.配合完成甲方及相关政府工作部门的核查、对数工作，以及处理工程造价纠纷；</w:t>
      </w:r>
    </w:p>
    <w:p w14:paraId="27FE72E7">
      <w:pPr>
        <w:snapToGrid w:val="0"/>
        <w:ind w:firstLine="420"/>
        <w:rPr>
          <w:rFonts w:ascii="宋体" w:hAnsi="宋体"/>
          <w:szCs w:val="21"/>
        </w:rPr>
      </w:pPr>
      <w:r>
        <w:rPr>
          <w:rFonts w:hint="eastAsia" w:ascii="宋体" w:hAnsi="宋体"/>
          <w:szCs w:val="21"/>
        </w:rPr>
        <w:t>11.负责向甲方上级部门汇报</w:t>
      </w:r>
      <w:r>
        <w:rPr>
          <w:rFonts w:hint="eastAsia" w:ascii="宋体" w:hAnsi="宋体"/>
          <w:szCs w:val="21"/>
          <w:lang w:eastAsia="zh-CN"/>
        </w:rPr>
        <w:t>审核</w:t>
      </w:r>
      <w:r>
        <w:rPr>
          <w:rFonts w:hint="eastAsia" w:ascii="宋体" w:hAnsi="宋体"/>
          <w:szCs w:val="21"/>
        </w:rPr>
        <w:t>情况；</w:t>
      </w:r>
    </w:p>
    <w:p w14:paraId="678AC642">
      <w:pPr>
        <w:snapToGrid w:val="0"/>
        <w:ind w:firstLine="420"/>
        <w:rPr>
          <w:rFonts w:ascii="宋体" w:hAnsi="宋体"/>
          <w:szCs w:val="21"/>
        </w:rPr>
      </w:pPr>
      <w:r>
        <w:rPr>
          <w:rFonts w:hint="eastAsia" w:ascii="宋体" w:hAnsi="宋体"/>
          <w:szCs w:val="21"/>
        </w:rPr>
        <w:t>12.负责对接招标人的结算审核机构（如有），办理送审及配合政府部门的审计工作，配合完成结算审核机构的结算审核工作；</w:t>
      </w:r>
    </w:p>
    <w:p w14:paraId="51E4B09C">
      <w:pPr>
        <w:snapToGrid w:val="0"/>
        <w:ind w:firstLine="420"/>
        <w:rPr>
          <w:rFonts w:ascii="宋体" w:hAnsi="宋体"/>
          <w:szCs w:val="21"/>
        </w:rPr>
      </w:pPr>
      <w:r>
        <w:rPr>
          <w:rFonts w:hint="eastAsia" w:ascii="宋体" w:hAnsi="宋体"/>
          <w:szCs w:val="21"/>
        </w:rPr>
        <w:t>13.按照档案管理有关规定，协助甲方做好工程预结算审核留痕记录及相关资料的归档整理工作；</w:t>
      </w:r>
    </w:p>
    <w:p w14:paraId="4D583A52">
      <w:pPr>
        <w:snapToGrid w:val="0"/>
        <w:ind w:firstLine="420"/>
        <w:rPr>
          <w:rFonts w:ascii="宋体" w:hAnsi="宋体"/>
          <w:szCs w:val="21"/>
        </w:rPr>
      </w:pPr>
      <w:r>
        <w:rPr>
          <w:rFonts w:hint="eastAsia" w:ascii="宋体" w:hAnsi="宋体"/>
          <w:szCs w:val="21"/>
        </w:rPr>
        <w:t xml:space="preserve">14.造价咨询成果提交后，乙方须继续提供服务期内已审查事项的后续技术咨询服务， </w:t>
      </w:r>
    </w:p>
    <w:p w14:paraId="4CC239F9">
      <w:pPr>
        <w:snapToGrid w:val="0"/>
        <w:ind w:firstLine="0" w:firstLineChars="0"/>
        <w:rPr>
          <w:rFonts w:ascii="宋体" w:hAnsi="宋体"/>
          <w:szCs w:val="21"/>
        </w:rPr>
      </w:pPr>
      <w:r>
        <w:rPr>
          <w:rFonts w:hint="eastAsia" w:ascii="宋体" w:hAnsi="宋体"/>
          <w:szCs w:val="21"/>
        </w:rPr>
        <w:t>甲方无须另外支付服务费用；</w:t>
      </w:r>
    </w:p>
    <w:p w14:paraId="5236EBA9">
      <w:pPr>
        <w:snapToGrid w:val="0"/>
        <w:ind w:firstLine="420"/>
        <w:rPr>
          <w:rFonts w:ascii="宋体" w:hAnsi="宋体"/>
          <w:szCs w:val="21"/>
        </w:rPr>
      </w:pPr>
      <w:r>
        <w:rPr>
          <w:rFonts w:hint="eastAsia" w:ascii="宋体" w:hAnsi="宋体"/>
          <w:szCs w:val="21"/>
        </w:rPr>
        <w:t>15.若因本委托工程的审计、造价管理、建设相关政府部门的政策变化、甲方管理计划调整等情况，甲方可能对造价咨询工作完成时间做出相应调整，乙方不得因此要求调整咨询费用；</w:t>
      </w:r>
    </w:p>
    <w:p w14:paraId="1FFB82F2">
      <w:pPr>
        <w:snapToGrid w:val="0"/>
        <w:ind w:firstLine="420"/>
        <w:rPr>
          <w:rFonts w:ascii="宋体" w:hAnsi="宋体"/>
          <w:szCs w:val="21"/>
        </w:rPr>
      </w:pPr>
      <w:r>
        <w:rPr>
          <w:rFonts w:hint="eastAsia" w:ascii="宋体" w:hAnsi="宋体"/>
          <w:szCs w:val="21"/>
        </w:rPr>
        <w:t>16.甲方有权根据公司相关管理办法及项目情况，调整合同工作范围；</w:t>
      </w:r>
    </w:p>
    <w:p w14:paraId="0EDB3B82">
      <w:pPr>
        <w:snapToGrid w:val="0"/>
        <w:ind w:firstLine="420"/>
        <w:rPr>
          <w:rFonts w:ascii="宋体" w:hAnsi="宋体"/>
          <w:szCs w:val="21"/>
        </w:rPr>
      </w:pPr>
      <w:r>
        <w:rPr>
          <w:rFonts w:hint="eastAsia" w:ascii="宋体" w:hAnsi="宋体"/>
          <w:szCs w:val="21"/>
        </w:rPr>
        <w:t>17.其它相关工程造价技术咨询。</w:t>
      </w:r>
    </w:p>
    <w:p w14:paraId="0B86A98B">
      <w:pPr>
        <w:snapToGrid w:val="0"/>
        <w:ind w:firstLine="428"/>
        <w:rPr>
          <w:rFonts w:ascii="宋体" w:hAnsi="宋体"/>
          <w:b/>
          <w:bCs/>
          <w:szCs w:val="21"/>
        </w:rPr>
      </w:pPr>
      <w:bookmarkStart w:id="3" w:name="_Toc30292"/>
      <w:bookmarkStart w:id="4" w:name="_Toc256000056"/>
      <w:bookmarkStart w:id="5" w:name="_Toc698576504"/>
      <w:r>
        <w:rPr>
          <w:rFonts w:hint="eastAsia" w:ascii="宋体" w:hAnsi="宋体"/>
          <w:b/>
          <w:bCs/>
          <w:szCs w:val="21"/>
        </w:rPr>
        <w:t>四、工作要求</w:t>
      </w:r>
    </w:p>
    <w:p w14:paraId="4822FFA1">
      <w:pPr>
        <w:snapToGrid w:val="0"/>
        <w:ind w:firstLine="420"/>
        <w:rPr>
          <w:rFonts w:ascii="宋体" w:hAnsi="宋体"/>
          <w:szCs w:val="21"/>
        </w:rPr>
      </w:pPr>
      <w:r>
        <w:rPr>
          <w:rFonts w:hint="eastAsia" w:ascii="宋体" w:hAnsi="宋体"/>
          <w:szCs w:val="21"/>
        </w:rPr>
        <w:t>1.对造价初审文件内容的完整性、有效性、符合性全面审查，以及造价初审文件所列项目内容、工程做法及所用材料的真实性（实地检查或客观佐证）和工程计量及项目计价的准确性全面审查，具体内容参考《协议书》第五条《复审工作过程控制要求》和第六条《复审内容》约定内容。</w:t>
      </w:r>
    </w:p>
    <w:p w14:paraId="01B59DEE">
      <w:pPr>
        <w:snapToGrid w:val="0"/>
        <w:ind w:firstLine="420"/>
        <w:rPr>
          <w:rFonts w:ascii="宋体" w:hAnsi="宋体"/>
          <w:szCs w:val="21"/>
        </w:rPr>
      </w:pPr>
      <w:r>
        <w:rPr>
          <w:rFonts w:hint="eastAsia" w:ascii="宋体" w:hAnsi="宋体"/>
          <w:szCs w:val="21"/>
        </w:rPr>
        <w:t>2.复审工作成果文件应包含进度计划方案、对照复查明细及评价报告、量价对比记录表。</w:t>
      </w:r>
      <w:bookmarkStart w:id="10" w:name="_GoBack"/>
      <w:bookmarkEnd w:id="10"/>
    </w:p>
    <w:p w14:paraId="2F787027">
      <w:pPr>
        <w:snapToGrid w:val="0"/>
        <w:ind w:firstLine="420"/>
        <w:rPr>
          <w:rFonts w:ascii="宋体" w:hAnsi="宋体"/>
          <w:szCs w:val="21"/>
        </w:rPr>
      </w:pPr>
      <w:r>
        <w:rPr>
          <w:rFonts w:hint="eastAsia" w:ascii="宋体" w:hAnsi="宋体"/>
          <w:szCs w:val="21"/>
        </w:rPr>
        <w:t>3.若甲方填发的《造价咨询业务委托函》对《协议书》第四条第1款中的服务内容另有要求的，则乙方应按其约定办理。</w:t>
      </w:r>
    </w:p>
    <w:p w14:paraId="3A7366F5">
      <w:pPr>
        <w:snapToGrid w:val="0"/>
        <w:ind w:firstLine="420"/>
        <w:rPr>
          <w:rFonts w:ascii="宋体" w:hAnsi="宋体"/>
          <w:szCs w:val="21"/>
        </w:rPr>
      </w:pPr>
      <w:r>
        <w:rPr>
          <w:rFonts w:hint="eastAsia" w:ascii="宋体" w:hAnsi="宋体"/>
          <w:szCs w:val="21"/>
        </w:rPr>
        <w:t>4.每份造价复审文件经甲方安排与初审单位核对完成之后，必须经过甲方确认之后方为有效。</w:t>
      </w:r>
    </w:p>
    <w:p w14:paraId="784186DD">
      <w:pPr>
        <w:snapToGrid w:val="0"/>
        <w:ind w:firstLine="420"/>
        <w:rPr>
          <w:rFonts w:ascii="宋体" w:hAnsi="宋体"/>
          <w:szCs w:val="21"/>
        </w:rPr>
      </w:pPr>
      <w:r>
        <w:rPr>
          <w:rFonts w:hint="eastAsia" w:ascii="宋体" w:hAnsi="宋体"/>
          <w:szCs w:val="21"/>
        </w:rPr>
        <w:t>5.乙方必须依照现行国家及深圳市的计价规范、相关法律、法规要求及合同约定进行造价编制和审核。</w:t>
      </w:r>
    </w:p>
    <w:p w14:paraId="04DFBF87">
      <w:pPr>
        <w:snapToGrid w:val="0"/>
        <w:ind w:firstLine="420"/>
        <w:rPr>
          <w:rFonts w:ascii="宋体" w:hAnsi="宋体"/>
          <w:szCs w:val="21"/>
        </w:rPr>
      </w:pPr>
      <w:r>
        <w:rPr>
          <w:rFonts w:hint="eastAsia" w:ascii="宋体" w:hAnsi="宋体"/>
          <w:szCs w:val="21"/>
        </w:rPr>
        <w:t>6.乙方必须有完整有效的质量保证体系，质量保证体系中必须有复核及审核程序，且复核人和审核人必须在造价成果文件上签名。审核人必须持有登记在乙方公司的全国注册造价工程师执业章。</w:t>
      </w:r>
    </w:p>
    <w:p w14:paraId="16C35F9C">
      <w:pPr>
        <w:snapToGrid w:val="0"/>
        <w:ind w:firstLine="420"/>
        <w:outlineLvl w:val="2"/>
        <w:rPr>
          <w:rFonts w:ascii="宋体" w:hAnsi="宋体"/>
          <w:szCs w:val="21"/>
        </w:rPr>
      </w:pPr>
      <w:r>
        <w:rPr>
          <w:rFonts w:hint="eastAsia" w:ascii="宋体" w:hAnsi="宋体"/>
          <w:szCs w:val="21"/>
        </w:rPr>
        <w:t>7.乙方工作人员在办理复审事项时，应当客观公正、实事求是、廉洁奉公、保守秘密，并保持严谨、稳健、负责的职业态度。在执行评审任务时，应真实反映评审过程、评审结果，客观评价评审事项，评审中发现的重大问题及时向甲方汇报；接受甲方的业务监督，接受甲方对质量监督过程中发现问题的处理处罚。乙方工作人员不得与送审单位或所协审任务的相关单位擅自联系、索要资料，也不得将复审对象的联系信息擅自扩散。</w:t>
      </w:r>
    </w:p>
    <w:p w14:paraId="603794AC">
      <w:pPr>
        <w:snapToGrid w:val="0"/>
        <w:ind w:firstLine="420"/>
        <w:outlineLvl w:val="2"/>
        <w:rPr>
          <w:rFonts w:ascii="宋体" w:hAnsi="宋体"/>
          <w:szCs w:val="21"/>
        </w:rPr>
      </w:pPr>
      <w:r>
        <w:rPr>
          <w:rFonts w:hint="eastAsia" w:ascii="宋体" w:hAnsi="宋体"/>
          <w:szCs w:val="21"/>
        </w:rPr>
        <w:t>8.乙方应按甲方的规定及要求建立有效的质量保障措施。如因乙方复审工作质量不能达到甲方要求或复审过程中出现违规违纪现象，甲方有权中止对乙方的项目委托，并视情况予以处罚；如因乙方原因导致复审结果有严重错误，或造成甲方经济损失的，乙方应承担相应的经济法律责任。</w:t>
      </w:r>
    </w:p>
    <w:p w14:paraId="4F4F82BE">
      <w:pPr>
        <w:snapToGrid w:val="0"/>
        <w:ind w:firstLine="420"/>
        <w:outlineLvl w:val="2"/>
        <w:rPr>
          <w:rFonts w:ascii="宋体" w:hAnsi="宋体"/>
          <w:szCs w:val="21"/>
        </w:rPr>
      </w:pPr>
      <w:r>
        <w:rPr>
          <w:rFonts w:hint="eastAsia" w:ascii="宋体" w:hAnsi="宋体"/>
          <w:szCs w:val="21"/>
        </w:rPr>
        <w:t>9.乙方应配合和服从甲方的动态管理规定，根据甲方要求现场办公的，乙方应自行配备足够的办公设备，并自行解决现场办公期间所有交通、住宿、伙食等。如乙方因动态管理被中止项目委托，仍应协助甲方完成已审项目的后续工作，否则甲方有权扣除乙方的复审费用，并取消其以后承接复审业务的资格。</w:t>
      </w:r>
    </w:p>
    <w:p w14:paraId="3857A152">
      <w:pPr>
        <w:snapToGrid w:val="0"/>
        <w:ind w:firstLine="428"/>
        <w:rPr>
          <w:rFonts w:ascii="宋体" w:hAnsi="宋体"/>
          <w:b/>
          <w:bCs/>
          <w:szCs w:val="21"/>
        </w:rPr>
      </w:pPr>
      <w:r>
        <w:rPr>
          <w:rFonts w:hint="eastAsia" w:ascii="宋体" w:hAnsi="宋体"/>
          <w:b/>
          <w:bCs/>
          <w:szCs w:val="21"/>
        </w:rPr>
        <w:t>五、复审工作过程控制要求</w:t>
      </w:r>
    </w:p>
    <w:p w14:paraId="14D488A7">
      <w:pPr>
        <w:snapToGrid w:val="0"/>
        <w:ind w:firstLine="420"/>
        <w:rPr>
          <w:rFonts w:ascii="宋体" w:hAnsi="宋体"/>
          <w:szCs w:val="21"/>
        </w:rPr>
      </w:pPr>
      <w:r>
        <w:rPr>
          <w:rFonts w:hint="eastAsia" w:ascii="宋体" w:hAnsi="宋体"/>
          <w:szCs w:val="21"/>
        </w:rPr>
        <w:t>1.完整性复核：乙方应检查工程资料（或编审依据）的完整性，工程资料应包括（但不限于）如下内容：</w:t>
      </w:r>
    </w:p>
    <w:p w14:paraId="388B3B8C">
      <w:pPr>
        <w:snapToGrid w:val="0"/>
        <w:ind w:firstLine="420"/>
        <w:rPr>
          <w:rFonts w:ascii="宋体" w:hAnsi="宋体"/>
          <w:szCs w:val="21"/>
        </w:rPr>
      </w:pPr>
      <w:r>
        <w:rPr>
          <w:rFonts w:hint="eastAsia" w:ascii="宋体" w:hAnsi="宋体"/>
          <w:szCs w:val="21"/>
        </w:rPr>
        <w:t>（1）初审单位提交的造价文件（含工程量计算底稿）；</w:t>
      </w:r>
    </w:p>
    <w:p w14:paraId="50782B45">
      <w:pPr>
        <w:snapToGrid w:val="0"/>
        <w:ind w:firstLine="420"/>
        <w:rPr>
          <w:rFonts w:ascii="宋体" w:hAnsi="宋体"/>
          <w:szCs w:val="21"/>
        </w:rPr>
      </w:pPr>
      <w:r>
        <w:rPr>
          <w:rFonts w:hint="eastAsia" w:ascii="宋体" w:hAnsi="宋体"/>
          <w:szCs w:val="21"/>
        </w:rPr>
        <w:t>（2）工程合同、补充协议；</w:t>
      </w:r>
    </w:p>
    <w:p w14:paraId="2D20E5DC">
      <w:pPr>
        <w:snapToGrid w:val="0"/>
        <w:ind w:firstLine="420"/>
        <w:rPr>
          <w:rFonts w:ascii="宋体" w:hAnsi="宋体"/>
          <w:szCs w:val="21"/>
        </w:rPr>
      </w:pPr>
      <w:r>
        <w:rPr>
          <w:rFonts w:hint="eastAsia" w:ascii="宋体" w:hAnsi="宋体"/>
          <w:szCs w:val="21"/>
        </w:rPr>
        <w:t>（3）材料价格（政府指导价格、市场价格、甲供材料、限价材料通知书）；</w:t>
      </w:r>
    </w:p>
    <w:p w14:paraId="621F030F">
      <w:pPr>
        <w:snapToGrid w:val="0"/>
        <w:ind w:firstLine="420"/>
        <w:rPr>
          <w:rFonts w:ascii="宋体" w:hAnsi="宋体"/>
          <w:szCs w:val="21"/>
        </w:rPr>
      </w:pPr>
      <w:r>
        <w:rPr>
          <w:rFonts w:hint="eastAsia" w:ascii="宋体" w:hAnsi="宋体"/>
          <w:szCs w:val="21"/>
        </w:rPr>
        <w:t>（4）招标、投标文件等确定合同价格的文件（包括中标单位的投标书、双方达成一致的预算书等）；</w:t>
      </w:r>
    </w:p>
    <w:p w14:paraId="5AC543FE">
      <w:pPr>
        <w:snapToGrid w:val="0"/>
        <w:ind w:firstLine="420"/>
        <w:rPr>
          <w:rFonts w:ascii="宋体" w:hAnsi="宋体"/>
          <w:szCs w:val="21"/>
        </w:rPr>
      </w:pPr>
      <w:r>
        <w:rPr>
          <w:rFonts w:hint="eastAsia" w:ascii="宋体" w:hAnsi="宋体"/>
          <w:szCs w:val="21"/>
        </w:rPr>
        <w:t>（5）施工组织设计方案、施（竣）工图、图纸会审记录；</w:t>
      </w:r>
    </w:p>
    <w:p w14:paraId="5CCE568A">
      <w:pPr>
        <w:snapToGrid w:val="0"/>
        <w:ind w:firstLine="420"/>
        <w:rPr>
          <w:rFonts w:ascii="宋体" w:hAnsi="宋体"/>
          <w:szCs w:val="21"/>
        </w:rPr>
      </w:pPr>
      <w:r>
        <w:rPr>
          <w:rFonts w:hint="eastAsia" w:ascii="宋体" w:hAnsi="宋体"/>
          <w:szCs w:val="21"/>
        </w:rPr>
        <w:t>（6）工程竣工验收资料（工期或者质量未达到合同要求的项目应提供相应明确责任的说明）；</w:t>
      </w:r>
    </w:p>
    <w:p w14:paraId="72DAE238">
      <w:pPr>
        <w:snapToGrid w:val="0"/>
        <w:ind w:firstLine="420"/>
        <w:rPr>
          <w:rFonts w:ascii="宋体" w:hAnsi="宋体"/>
          <w:szCs w:val="21"/>
        </w:rPr>
      </w:pPr>
      <w:r>
        <w:rPr>
          <w:rFonts w:hint="eastAsia" w:ascii="宋体" w:hAnsi="宋体"/>
          <w:szCs w:val="21"/>
        </w:rPr>
        <w:t>（7）其他与工程变更、签证及预算相关的双方确认的协议、备忘录等；</w:t>
      </w:r>
    </w:p>
    <w:p w14:paraId="5225625F">
      <w:pPr>
        <w:snapToGrid w:val="0"/>
        <w:ind w:firstLine="420"/>
        <w:rPr>
          <w:rFonts w:ascii="宋体" w:hAnsi="宋体"/>
          <w:szCs w:val="21"/>
        </w:rPr>
      </w:pPr>
      <w:r>
        <w:rPr>
          <w:rFonts w:hint="eastAsia" w:ascii="宋体" w:hAnsi="宋体"/>
          <w:szCs w:val="21"/>
        </w:rPr>
        <w:t>（8）在上述工程资料齐全时还要进一步核查完整性。例如：对工程签证单应检查其各方签章是否齐备。</w:t>
      </w:r>
    </w:p>
    <w:p w14:paraId="7F3BC33B">
      <w:pPr>
        <w:snapToGrid w:val="0"/>
        <w:ind w:firstLine="420"/>
        <w:rPr>
          <w:rFonts w:ascii="宋体" w:hAnsi="宋体"/>
          <w:szCs w:val="21"/>
        </w:rPr>
      </w:pPr>
      <w:r>
        <w:rPr>
          <w:rFonts w:hint="eastAsia" w:ascii="宋体" w:hAnsi="宋体"/>
          <w:szCs w:val="21"/>
        </w:rPr>
        <w:t>2.真实性复核：乙方要对提供的复印件资料核对原件，确认复印件与原件完全相同，防止不真实和涂改内容进入成果文件；经现场确认的签证单，应向现场管理人员核实其真实性等等。</w:t>
      </w:r>
    </w:p>
    <w:p w14:paraId="32BD9DC7">
      <w:pPr>
        <w:snapToGrid w:val="0"/>
        <w:ind w:firstLine="420"/>
        <w:rPr>
          <w:rFonts w:ascii="宋体" w:hAnsi="宋体"/>
          <w:szCs w:val="21"/>
        </w:rPr>
      </w:pPr>
      <w:r>
        <w:rPr>
          <w:rFonts w:hint="eastAsia" w:ascii="宋体" w:hAnsi="宋体"/>
          <w:szCs w:val="21"/>
        </w:rPr>
        <w:t>3.时效性复核：选用的信息价时段、选用的定额应在有效时限范围内。计价标准和价格套用应在适用范围和时效内，有附加条件成立的子目价格不得随意套用等等。</w:t>
      </w:r>
    </w:p>
    <w:p w14:paraId="2F5AB223">
      <w:pPr>
        <w:snapToGrid w:val="0"/>
        <w:ind w:firstLine="428"/>
        <w:rPr>
          <w:rFonts w:ascii="宋体" w:hAnsi="宋体"/>
          <w:b/>
          <w:bCs/>
          <w:szCs w:val="21"/>
        </w:rPr>
      </w:pPr>
      <w:r>
        <w:rPr>
          <w:rFonts w:hint="eastAsia" w:ascii="宋体" w:hAnsi="宋体"/>
          <w:b/>
          <w:bCs/>
          <w:szCs w:val="21"/>
        </w:rPr>
        <w:t>六、复审内容</w:t>
      </w:r>
    </w:p>
    <w:p w14:paraId="4570B032">
      <w:pPr>
        <w:snapToGrid w:val="0"/>
        <w:ind w:firstLine="420"/>
        <w:rPr>
          <w:rFonts w:ascii="宋体" w:hAnsi="宋体"/>
          <w:szCs w:val="21"/>
        </w:rPr>
      </w:pPr>
      <w:r>
        <w:rPr>
          <w:rFonts w:hint="eastAsia" w:ascii="宋体" w:hAnsi="宋体"/>
          <w:szCs w:val="21"/>
        </w:rPr>
        <w:t>1.复核编审范围，确认无重复计算。</w:t>
      </w:r>
    </w:p>
    <w:p w14:paraId="0F2452F2">
      <w:pPr>
        <w:snapToGrid w:val="0"/>
        <w:ind w:firstLine="420"/>
        <w:rPr>
          <w:rFonts w:ascii="宋体" w:hAnsi="宋体"/>
          <w:szCs w:val="21"/>
        </w:rPr>
      </w:pPr>
      <w:r>
        <w:rPr>
          <w:rFonts w:hint="eastAsia" w:ascii="宋体" w:hAnsi="宋体"/>
          <w:szCs w:val="21"/>
        </w:rPr>
        <w:t>2.复核编审方法、计价依据和编审程序（包括定额、费用标准、综合价格的确定和调整方法等）应符合相关合同约定。补充定额和价格及其价格水平、内容组成、编制原则应与相关合同和补充协议约定相符，不得脱离相关合同约定，自定标准。</w:t>
      </w:r>
    </w:p>
    <w:p w14:paraId="7F8ECD26">
      <w:pPr>
        <w:snapToGrid w:val="0"/>
        <w:ind w:firstLine="420"/>
        <w:rPr>
          <w:rFonts w:ascii="宋体" w:hAnsi="宋体"/>
          <w:szCs w:val="21"/>
        </w:rPr>
      </w:pPr>
      <w:r>
        <w:rPr>
          <w:rFonts w:hint="eastAsia" w:ascii="宋体" w:hAnsi="宋体"/>
          <w:szCs w:val="21"/>
        </w:rPr>
        <w:t>3.复核工程量计算，应根据有效设计图纸、工程量计算规则和施工组织设计的要求计算。</w:t>
      </w:r>
    </w:p>
    <w:p w14:paraId="246136B3">
      <w:pPr>
        <w:snapToGrid w:val="0"/>
        <w:ind w:firstLine="428"/>
        <w:rPr>
          <w:rFonts w:ascii="宋体" w:hAnsi="宋体"/>
          <w:b/>
          <w:bCs/>
          <w:szCs w:val="21"/>
        </w:rPr>
      </w:pPr>
      <w:r>
        <w:rPr>
          <w:rFonts w:hint="eastAsia" w:ascii="宋体" w:hAnsi="宋体"/>
          <w:b/>
          <w:bCs/>
          <w:szCs w:val="21"/>
        </w:rPr>
        <w:t>七、人员要求</w:t>
      </w:r>
      <w:bookmarkEnd w:id="3"/>
      <w:bookmarkEnd w:id="4"/>
      <w:bookmarkEnd w:id="5"/>
    </w:p>
    <w:p w14:paraId="407C294C">
      <w:pPr>
        <w:snapToGrid w:val="0"/>
        <w:ind w:firstLine="420"/>
        <w:outlineLvl w:val="2"/>
        <w:rPr>
          <w:rFonts w:ascii="宋体" w:hAnsi="宋体"/>
          <w:szCs w:val="21"/>
        </w:rPr>
      </w:pPr>
      <w:r>
        <w:rPr>
          <w:rFonts w:hint="eastAsia" w:ascii="宋体" w:hAnsi="宋体"/>
          <w:szCs w:val="21"/>
        </w:rPr>
        <w:t>1.乙方派出的复审人员必须是投标书中的拟安排人员且经甲方面试合格人员，否则甲方有权取消其承接复审业务的资格。</w:t>
      </w:r>
    </w:p>
    <w:p w14:paraId="76493241">
      <w:pPr>
        <w:snapToGrid w:val="0"/>
        <w:ind w:firstLine="420"/>
        <w:outlineLvl w:val="2"/>
        <w:rPr>
          <w:rFonts w:ascii="宋体" w:hAnsi="宋体"/>
          <w:szCs w:val="21"/>
        </w:rPr>
      </w:pPr>
      <w:r>
        <w:rPr>
          <w:rFonts w:hint="eastAsia" w:ascii="宋体" w:hAnsi="宋体"/>
          <w:szCs w:val="21"/>
        </w:rPr>
        <w:t>2.乙方委派的项目负责人应具有高度的责任心、较强的协调能力，专业技能扎实、经验丰富、廉洁奉公，持注册造价师证。</w:t>
      </w:r>
    </w:p>
    <w:p w14:paraId="7119EC29">
      <w:pPr>
        <w:snapToGrid w:val="0"/>
        <w:ind w:firstLine="420"/>
        <w:outlineLvl w:val="2"/>
        <w:rPr>
          <w:rFonts w:ascii="宋体" w:hAnsi="宋体"/>
          <w:szCs w:val="21"/>
        </w:rPr>
      </w:pPr>
      <w:r>
        <w:rPr>
          <w:rFonts w:hint="eastAsia" w:ascii="宋体" w:hAnsi="宋体"/>
          <w:szCs w:val="21"/>
        </w:rPr>
        <w:t>3.项目负责人要完全掌握本工程投资控制情况，负责文件的审核把关，组织项目人员按时完成甲方委托的任务，负责向甲方汇报投资控制的情况以及委托任务的编审情况，负责与甲方的联络工作。</w:t>
      </w:r>
    </w:p>
    <w:p w14:paraId="0A85C72D">
      <w:pPr>
        <w:snapToGrid w:val="0"/>
        <w:ind w:firstLine="420"/>
        <w:outlineLvl w:val="2"/>
        <w:rPr>
          <w:rFonts w:ascii="宋体" w:hAnsi="宋体"/>
          <w:szCs w:val="21"/>
        </w:rPr>
      </w:pPr>
      <w:r>
        <w:rPr>
          <w:rFonts w:hint="eastAsia" w:ascii="宋体" w:hAnsi="宋体"/>
          <w:szCs w:val="21"/>
        </w:rPr>
        <w:t>4.乙方委派的各专业负责人应具有高度的责任心，专业技能扎实、经验丰富、廉洁奉公，持注册造价师证。</w:t>
      </w:r>
    </w:p>
    <w:p w14:paraId="4936BA93">
      <w:pPr>
        <w:snapToGrid w:val="0"/>
        <w:ind w:firstLine="420"/>
        <w:outlineLvl w:val="2"/>
        <w:rPr>
          <w:rFonts w:ascii="宋体" w:hAnsi="宋体"/>
          <w:szCs w:val="21"/>
        </w:rPr>
      </w:pPr>
      <w:r>
        <w:rPr>
          <w:rFonts w:hint="eastAsia" w:ascii="宋体" w:hAnsi="宋体"/>
          <w:szCs w:val="21"/>
        </w:rPr>
        <w:t>5.项目拟派人员不得随意更换。如需更换，须提前书面征得甲方同意。</w:t>
      </w:r>
    </w:p>
    <w:p w14:paraId="53A08034">
      <w:pPr>
        <w:snapToGrid w:val="0"/>
        <w:ind w:firstLine="420"/>
        <w:outlineLvl w:val="2"/>
        <w:rPr>
          <w:rFonts w:ascii="宋体" w:hAnsi="宋体"/>
          <w:szCs w:val="21"/>
        </w:rPr>
      </w:pPr>
      <w:r>
        <w:rPr>
          <w:rFonts w:hint="eastAsia" w:ascii="宋体" w:hAnsi="宋体"/>
          <w:szCs w:val="21"/>
        </w:rPr>
        <w:t>6.乙方必须按照甲方要求及项目具体情况配备项目人员，如人员调整，乙方须书面通知甲方并得到甲方认可，否则视为违约，按甲方相关考核管理办法处理。</w:t>
      </w:r>
    </w:p>
    <w:p w14:paraId="4F632CD2">
      <w:pPr>
        <w:snapToGrid w:val="0"/>
        <w:ind w:firstLine="420"/>
        <w:outlineLvl w:val="2"/>
        <w:rPr>
          <w:rFonts w:ascii="宋体" w:hAnsi="宋体"/>
          <w:szCs w:val="21"/>
        </w:rPr>
      </w:pPr>
      <w:r>
        <w:rPr>
          <w:rFonts w:hint="eastAsia" w:ascii="宋体" w:hAnsi="宋体"/>
          <w:szCs w:val="21"/>
        </w:rPr>
        <w:t>7.乙方指派专人负责与本项目的联系协调工作，及时解决项目造价工作中出现的问题。如联系人信息有变更的，应及时书面通知甲方，否则甲方按原联系信息向乙方发出的书面文件仍视为送达。</w:t>
      </w:r>
    </w:p>
    <w:p w14:paraId="2ABB5DA4">
      <w:pPr>
        <w:snapToGrid w:val="0"/>
        <w:ind w:firstLine="420"/>
        <w:outlineLvl w:val="2"/>
        <w:rPr>
          <w:rFonts w:ascii="宋体" w:hAnsi="宋体"/>
          <w:szCs w:val="21"/>
        </w:rPr>
      </w:pPr>
      <w:r>
        <w:rPr>
          <w:rFonts w:hint="eastAsia" w:ascii="宋体" w:hAnsi="宋体"/>
          <w:szCs w:val="21"/>
        </w:rPr>
        <w:t>8.乙方需根据项目各专业工程需要及时增加配备相应人员，并提供专业咨询服务和后备技术支持。</w:t>
      </w:r>
    </w:p>
    <w:p w14:paraId="71041EE3">
      <w:pPr>
        <w:snapToGrid w:val="0"/>
        <w:ind w:firstLine="420"/>
        <w:outlineLvl w:val="2"/>
        <w:rPr>
          <w:rFonts w:ascii="宋体" w:hAnsi="宋体"/>
          <w:szCs w:val="21"/>
        </w:rPr>
      </w:pPr>
      <w:r>
        <w:rPr>
          <w:rFonts w:hint="eastAsia" w:ascii="宋体" w:hAnsi="宋体"/>
          <w:szCs w:val="21"/>
        </w:rPr>
        <w:t>9.对于乙方内部不可避免发生的，且涉及到委托业务的人事变动，乙方应事先制订相应的风险防范措施，项目小组人员的离职信息应及时知会甲方，且必须征得甲方对其业务交接结果的确认后，乙方方可予以办理正式离职手续，而其后续的业务承接者，应要求优先考虑小组内成员，若为其他人员的，必须事先征得甲方的认可。否则，乙方将规定承担违约责任。</w:t>
      </w:r>
    </w:p>
    <w:p w14:paraId="4621E127">
      <w:pPr>
        <w:snapToGrid w:val="0"/>
        <w:ind w:firstLine="420"/>
        <w:outlineLvl w:val="2"/>
        <w:rPr>
          <w:rFonts w:ascii="宋体" w:hAnsi="宋体"/>
          <w:szCs w:val="21"/>
        </w:rPr>
      </w:pPr>
      <w:r>
        <w:rPr>
          <w:rFonts w:hint="eastAsia" w:ascii="宋体" w:hAnsi="宋体"/>
          <w:szCs w:val="21"/>
        </w:rPr>
        <w:t>10.甲方有权要求乙方撤换违反规定或履行职责时不能胜任、玩忽职守、消极怠工的工作人员，或甲方认为其在咨询业务的出现是不适宜的人员（也包括项目负责人在内）。此类人员一旦撤换，未经甲方的批准不得重新在项目机构上工作，亦不得用于与本合同有关的工作。任何被如此撤掉的人员应在2天内被替换，且若存在有以不正当手段损害甲方利益或触犯法律者，甲方保留法律追究的权利。重新配备的人选应事先征得甲方认可。</w:t>
      </w:r>
    </w:p>
    <w:p w14:paraId="1CC76438">
      <w:pPr>
        <w:snapToGrid w:val="0"/>
        <w:ind w:firstLine="420"/>
        <w:outlineLvl w:val="2"/>
        <w:rPr>
          <w:rFonts w:ascii="宋体" w:hAnsi="宋体"/>
          <w:szCs w:val="21"/>
        </w:rPr>
      </w:pPr>
      <w:r>
        <w:rPr>
          <w:rFonts w:hint="eastAsia" w:ascii="宋体" w:hAnsi="宋体"/>
          <w:szCs w:val="21"/>
        </w:rPr>
        <w:t>11.乙方复审人员应履行回避制度，复审人员和项目存在利害关系的，应主动向乙方负责人申报。所有复审人员应签署回避承诺书，否则，甲方按0.5万元/人/次扣减咨询酬金作为违约金，并立即更换人员并对有关工作进行重新核算。</w:t>
      </w:r>
    </w:p>
    <w:p w14:paraId="285C8406">
      <w:pPr>
        <w:adjustRightInd w:val="0"/>
        <w:snapToGrid w:val="0"/>
        <w:ind w:firstLine="428"/>
        <w:jc w:val="left"/>
        <w:outlineLvl w:val="2"/>
        <w:rPr>
          <w:rFonts w:ascii="宋体" w:hAnsi="宋体"/>
          <w:b/>
          <w:bCs/>
          <w:szCs w:val="21"/>
        </w:rPr>
      </w:pPr>
      <w:r>
        <w:rPr>
          <w:rFonts w:hint="eastAsia" w:ascii="宋体" w:hAnsi="宋体"/>
          <w:b/>
          <w:bCs/>
          <w:szCs w:val="21"/>
        </w:rPr>
        <w:t>八、咨询酬金</w:t>
      </w:r>
    </w:p>
    <w:p w14:paraId="00419F31">
      <w:pPr>
        <w:snapToGrid w:val="0"/>
        <w:ind w:firstLine="420"/>
        <w:rPr>
          <w:rFonts w:ascii="宋体" w:hAnsi="宋体"/>
          <w:szCs w:val="21"/>
        </w:rPr>
      </w:pPr>
      <w:r>
        <w:rPr>
          <w:rFonts w:hint="eastAsia" w:ascii="宋体" w:hAnsi="宋体"/>
          <w:szCs w:val="21"/>
        </w:rPr>
        <w:t>咨询酬金的计取方法：</w:t>
      </w:r>
    </w:p>
    <w:p w14:paraId="7084D970">
      <w:pPr>
        <w:snapToGrid w:val="0"/>
        <w:ind w:firstLine="420"/>
        <w:rPr>
          <w:rFonts w:ascii="宋体" w:hAnsi="宋体"/>
          <w:szCs w:val="21"/>
        </w:rPr>
      </w:pPr>
      <w:r>
        <w:rPr>
          <w:rFonts w:ascii="宋体" w:hAnsi="宋体"/>
          <w:szCs w:val="21"/>
        </w:rPr>
        <w:t>1.</w:t>
      </w:r>
      <w:r>
        <w:rPr>
          <w:rFonts w:hint="eastAsia" w:ascii="宋体" w:hAnsi="宋体"/>
          <w:szCs w:val="21"/>
        </w:rPr>
        <w:t>基础费费率：</w:t>
      </w:r>
      <w:r>
        <w:rPr>
          <w:rFonts w:hint="eastAsia" w:ascii="宋体" w:hAnsi="宋体"/>
          <w:szCs w:val="21"/>
          <w:u w:val="single"/>
        </w:rPr>
        <w:t>0.2‰</w:t>
      </w:r>
      <w:r>
        <w:rPr>
          <w:rFonts w:hint="eastAsia" w:ascii="宋体" w:hAnsi="宋体"/>
          <w:szCs w:val="21"/>
        </w:rPr>
        <w:t>；效益费费率：核减率0%~5%，效益费费率</w:t>
      </w:r>
      <w:r>
        <w:rPr>
          <w:rFonts w:hint="eastAsia" w:ascii="宋体" w:hAnsi="宋体"/>
          <w:szCs w:val="21"/>
          <w:u w:val="single"/>
        </w:rPr>
        <w:t xml:space="preserve"> 4% </w:t>
      </w:r>
      <w:r>
        <w:rPr>
          <w:rFonts w:hint="eastAsia" w:ascii="宋体" w:hAnsi="宋体"/>
          <w:szCs w:val="21"/>
        </w:rPr>
        <w:t>，核减率＞5%时，效益费费率：</w:t>
      </w:r>
      <w:r>
        <w:rPr>
          <w:rFonts w:hint="eastAsia" w:ascii="宋体" w:hAnsi="宋体"/>
          <w:szCs w:val="21"/>
          <w:u w:val="single"/>
        </w:rPr>
        <w:t xml:space="preserve"> 5% </w:t>
      </w:r>
      <w:r>
        <w:rPr>
          <w:rFonts w:hint="eastAsia" w:ascii="宋体" w:hAnsi="宋体"/>
          <w:szCs w:val="21"/>
        </w:rPr>
        <w:t>；</w:t>
      </w:r>
    </w:p>
    <w:p w14:paraId="33969833">
      <w:pPr>
        <w:snapToGrid w:val="0"/>
        <w:ind w:firstLine="420"/>
        <w:rPr>
          <w:rFonts w:ascii="宋体" w:hAnsi="宋体"/>
          <w:szCs w:val="21"/>
        </w:rPr>
      </w:pPr>
      <w:r>
        <w:rPr>
          <w:rFonts w:ascii="宋体" w:hAnsi="宋体"/>
          <w:szCs w:val="21"/>
        </w:rPr>
        <w:t>2.</w:t>
      </w:r>
      <w:r>
        <w:rPr>
          <w:rFonts w:hint="eastAsia" w:ascii="宋体" w:hAnsi="宋体"/>
          <w:szCs w:val="21"/>
        </w:rPr>
        <w:t>中标折扣率：</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w:t>
      </w:r>
    </w:p>
    <w:p w14:paraId="33599DCA">
      <w:pPr>
        <w:snapToGrid w:val="0"/>
        <w:ind w:firstLine="420"/>
        <w:rPr>
          <w:rFonts w:ascii="宋体" w:hAnsi="宋体"/>
          <w:szCs w:val="21"/>
        </w:rPr>
      </w:pPr>
      <w:r>
        <w:rPr>
          <w:rFonts w:hint="eastAsia" w:ascii="宋体" w:hAnsi="宋体"/>
          <w:szCs w:val="21"/>
        </w:rPr>
        <w:t>3.预结算复审服务费=（基础审核费+效益审核费）×中标折扣率；</w:t>
      </w:r>
    </w:p>
    <w:p w14:paraId="1007303E">
      <w:pPr>
        <w:snapToGrid w:val="0"/>
        <w:ind w:firstLine="420"/>
        <w:rPr>
          <w:rFonts w:ascii="宋体" w:hAnsi="宋体"/>
          <w:szCs w:val="21"/>
        </w:rPr>
      </w:pPr>
      <w:r>
        <w:rPr>
          <w:rFonts w:hint="eastAsia" w:ascii="宋体" w:hAnsi="宋体"/>
          <w:szCs w:val="21"/>
        </w:rPr>
        <w:t>（1）基础审核费=实际送审造价×基础费费率</w:t>
      </w:r>
    </w:p>
    <w:p w14:paraId="7ED2768A">
      <w:pPr>
        <w:snapToGrid w:val="0"/>
        <w:ind w:firstLine="420"/>
        <w:rPr>
          <w:rFonts w:ascii="宋体" w:hAnsi="宋体"/>
          <w:szCs w:val="21"/>
        </w:rPr>
      </w:pPr>
      <w:r>
        <w:rPr>
          <w:rFonts w:hint="eastAsia" w:ascii="宋体" w:hAnsi="宋体"/>
          <w:szCs w:val="21"/>
        </w:rPr>
        <w:t>（2）效益审核费=经甲方最终确认的有效核减额×效益费费率（按差额累计方式进行计算）</w:t>
      </w:r>
    </w:p>
    <w:p w14:paraId="6B1A78ED">
      <w:pPr>
        <w:snapToGrid w:val="0"/>
        <w:ind w:firstLine="420"/>
        <w:rPr>
          <w:rFonts w:ascii="宋体" w:hAnsi="宋体"/>
          <w:szCs w:val="21"/>
        </w:rPr>
      </w:pPr>
      <w:r>
        <w:rPr>
          <w:rFonts w:hint="eastAsia" w:ascii="宋体" w:hAnsi="宋体"/>
          <w:szCs w:val="21"/>
        </w:rPr>
        <w:t>其中：</w:t>
      </w:r>
    </w:p>
    <w:p w14:paraId="719E1268">
      <w:pPr>
        <w:snapToGrid w:val="0"/>
        <w:ind w:firstLine="420"/>
        <w:rPr>
          <w:rFonts w:ascii="宋体" w:hAnsi="宋体"/>
          <w:szCs w:val="21"/>
        </w:rPr>
      </w:pPr>
      <w:r>
        <w:rPr>
          <w:rFonts w:hint="eastAsia" w:ascii="宋体" w:hAnsi="宋体"/>
          <w:szCs w:val="21"/>
        </w:rPr>
        <w:t>①基础审核费：本合同基础审核费按预算复审、结算复审两阶段累计计算，取费基数为送审预、结算价，合同签订阶段预结算送审造价均暂定为（小写）</w:t>
      </w:r>
      <w:r>
        <w:rPr>
          <w:rFonts w:hint="eastAsia" w:ascii="宋体" w:hAnsi="宋体"/>
          <w:szCs w:val="21"/>
          <w:u w:val="single"/>
          <w:lang w:val="en-US" w:eastAsia="zh-CN"/>
        </w:rPr>
        <w:t xml:space="preserve">           </w:t>
      </w:r>
      <w:r>
        <w:rPr>
          <w:rFonts w:hint="eastAsia" w:ascii="宋体" w:hAnsi="宋体"/>
          <w:szCs w:val="21"/>
        </w:rPr>
        <w:t>元（暂按施工合同总金额），结算以实际送审价（扣除暂列金）作为取费基数计取。</w:t>
      </w:r>
    </w:p>
    <w:p w14:paraId="583518CA">
      <w:pPr>
        <w:snapToGrid w:val="0"/>
        <w:ind w:firstLine="420"/>
        <w:rPr>
          <w:rFonts w:ascii="宋体" w:hAnsi="宋体"/>
          <w:szCs w:val="21"/>
        </w:rPr>
      </w:pPr>
      <w:r>
        <w:rPr>
          <w:rFonts w:hint="eastAsia" w:ascii="宋体" w:hAnsi="宋体"/>
          <w:szCs w:val="21"/>
        </w:rPr>
        <w:t>②效益审核费：取费基数为经甲方最终确认的有效核减额，合同签订阶段预、结算复审累计核减额暂按送审造价（施工合同总金额）的</w:t>
      </w:r>
      <w:r>
        <w:rPr>
          <w:rFonts w:hint="eastAsia" w:ascii="宋体" w:hAnsi="宋体"/>
          <w:szCs w:val="21"/>
          <w:lang w:val="en-US" w:eastAsia="zh-CN"/>
        </w:rPr>
        <w:t>3</w:t>
      </w:r>
      <w:r>
        <w:rPr>
          <w:rFonts w:hint="eastAsia" w:ascii="宋体" w:hAnsi="宋体"/>
          <w:szCs w:val="21"/>
        </w:rPr>
        <w:t>%计算，结算时以甲方最终确认的预结算复审累计有效核减额（扣除暂列金核减）作为取费基数计取。</w:t>
      </w:r>
    </w:p>
    <w:p w14:paraId="0804E4B6">
      <w:pPr>
        <w:snapToGrid w:val="0"/>
        <w:ind w:firstLine="420"/>
        <w:rPr>
          <w:rFonts w:ascii="宋体" w:hAnsi="宋体"/>
          <w:szCs w:val="21"/>
        </w:rPr>
      </w:pPr>
      <w:r>
        <w:rPr>
          <w:rFonts w:hint="eastAsia" w:ascii="宋体" w:hAnsi="宋体"/>
          <w:szCs w:val="21"/>
        </w:rPr>
        <w:t>合同暂定价计算如下：</w:t>
      </w:r>
    </w:p>
    <w:tbl>
      <w:tblPr>
        <w:tblStyle w:val="9"/>
        <w:tblW w:w="8668" w:type="dxa"/>
        <w:tblInd w:w="113" w:type="dxa"/>
        <w:tblLayout w:type="fixed"/>
        <w:tblCellMar>
          <w:top w:w="0" w:type="dxa"/>
          <w:left w:w="108" w:type="dxa"/>
          <w:bottom w:w="0" w:type="dxa"/>
          <w:right w:w="108" w:type="dxa"/>
        </w:tblCellMar>
      </w:tblPr>
      <w:tblGrid>
        <w:gridCol w:w="978"/>
        <w:gridCol w:w="1620"/>
        <w:gridCol w:w="1090"/>
        <w:gridCol w:w="1120"/>
        <w:gridCol w:w="1314"/>
        <w:gridCol w:w="1275"/>
        <w:gridCol w:w="1271"/>
      </w:tblGrid>
      <w:tr w14:paraId="2A5E789E">
        <w:tblPrEx>
          <w:tblCellMar>
            <w:top w:w="0" w:type="dxa"/>
            <w:left w:w="108" w:type="dxa"/>
            <w:bottom w:w="0" w:type="dxa"/>
            <w:right w:w="108" w:type="dxa"/>
          </w:tblCellMar>
        </w:tblPrEx>
        <w:trPr>
          <w:trHeight w:val="553" w:hRule="atLeast"/>
        </w:trPr>
        <w:tc>
          <w:tcPr>
            <w:tcW w:w="978" w:type="dxa"/>
            <w:tcBorders>
              <w:top w:val="single" w:color="auto" w:sz="4" w:space="0"/>
              <w:left w:val="single" w:color="auto" w:sz="4" w:space="0"/>
              <w:bottom w:val="single" w:color="auto" w:sz="4" w:space="0"/>
              <w:right w:val="single" w:color="auto" w:sz="4" w:space="0"/>
            </w:tcBorders>
            <w:noWrap/>
            <w:vAlign w:val="center"/>
          </w:tcPr>
          <w:p w14:paraId="3EC6E01A">
            <w:pPr>
              <w:adjustRightInd w:val="0"/>
              <w:snapToGrid w:val="0"/>
              <w:spacing w:line="240" w:lineRule="auto"/>
              <w:ind w:firstLine="0" w:firstLineChars="0"/>
              <w:jc w:val="center"/>
              <w:outlineLvl w:val="2"/>
              <w:rPr>
                <w:rFonts w:ascii="宋体" w:hAnsi="宋体" w:cs="宋体"/>
                <w:b/>
                <w:bCs/>
                <w:sz w:val="18"/>
                <w:szCs w:val="18"/>
              </w:rPr>
            </w:pPr>
            <w:r>
              <w:rPr>
                <w:rFonts w:hint="eastAsia" w:ascii="宋体" w:hAnsi="宋体" w:cs="宋体"/>
                <w:b/>
                <w:bCs/>
                <w:sz w:val="18"/>
                <w:szCs w:val="18"/>
              </w:rPr>
              <w:t>阶段名称</w:t>
            </w:r>
          </w:p>
        </w:tc>
        <w:tc>
          <w:tcPr>
            <w:tcW w:w="1620" w:type="dxa"/>
            <w:tcBorders>
              <w:top w:val="single" w:color="auto" w:sz="4" w:space="0"/>
              <w:left w:val="single" w:color="auto" w:sz="4" w:space="0"/>
              <w:bottom w:val="single" w:color="auto" w:sz="4" w:space="0"/>
              <w:right w:val="single" w:color="auto" w:sz="4" w:space="0"/>
            </w:tcBorders>
            <w:noWrap/>
            <w:vAlign w:val="center"/>
          </w:tcPr>
          <w:p w14:paraId="6E9011F2">
            <w:pPr>
              <w:adjustRightInd w:val="0"/>
              <w:snapToGrid w:val="0"/>
              <w:spacing w:line="240" w:lineRule="auto"/>
              <w:ind w:firstLine="0" w:firstLineChars="0"/>
              <w:jc w:val="center"/>
              <w:outlineLvl w:val="2"/>
              <w:rPr>
                <w:rFonts w:ascii="宋体" w:hAnsi="宋体" w:cs="宋体"/>
                <w:b/>
                <w:bCs/>
                <w:sz w:val="18"/>
                <w:szCs w:val="18"/>
              </w:rPr>
            </w:pPr>
            <w:r>
              <w:rPr>
                <w:rFonts w:hint="eastAsia" w:ascii="宋体" w:hAnsi="宋体" w:cs="宋体"/>
                <w:b/>
                <w:bCs/>
                <w:sz w:val="18"/>
                <w:szCs w:val="18"/>
              </w:rPr>
              <w:t>暂定送审造价（元）</w:t>
            </w:r>
          </w:p>
        </w:tc>
        <w:tc>
          <w:tcPr>
            <w:tcW w:w="2210" w:type="dxa"/>
            <w:gridSpan w:val="2"/>
            <w:tcBorders>
              <w:top w:val="single" w:color="auto" w:sz="4" w:space="0"/>
              <w:left w:val="single" w:color="auto" w:sz="4" w:space="0"/>
              <w:bottom w:val="single" w:color="auto" w:sz="4" w:space="0"/>
              <w:right w:val="single" w:color="auto" w:sz="4" w:space="0"/>
            </w:tcBorders>
            <w:noWrap/>
            <w:vAlign w:val="center"/>
          </w:tcPr>
          <w:p w14:paraId="280D5C37">
            <w:pPr>
              <w:adjustRightInd w:val="0"/>
              <w:snapToGrid w:val="0"/>
              <w:spacing w:line="240" w:lineRule="auto"/>
              <w:ind w:firstLine="0" w:firstLineChars="0"/>
              <w:jc w:val="center"/>
              <w:outlineLvl w:val="2"/>
              <w:rPr>
                <w:rFonts w:ascii="宋体" w:hAnsi="宋体" w:cs="宋体"/>
                <w:b/>
                <w:bCs/>
                <w:sz w:val="18"/>
                <w:szCs w:val="18"/>
              </w:rPr>
            </w:pPr>
            <w:r>
              <w:rPr>
                <w:rFonts w:hint="eastAsia" w:ascii="宋体" w:hAnsi="宋体" w:cs="宋体"/>
                <w:b/>
                <w:bCs/>
                <w:sz w:val="18"/>
                <w:szCs w:val="18"/>
              </w:rPr>
              <w:t>合同暂定基础审核费（元）</w:t>
            </w:r>
          </w:p>
        </w:tc>
        <w:tc>
          <w:tcPr>
            <w:tcW w:w="2589" w:type="dxa"/>
            <w:gridSpan w:val="2"/>
            <w:tcBorders>
              <w:top w:val="single" w:color="auto" w:sz="4" w:space="0"/>
              <w:left w:val="single" w:color="auto" w:sz="4" w:space="0"/>
              <w:bottom w:val="single" w:color="auto" w:sz="4" w:space="0"/>
              <w:right w:val="single" w:color="auto" w:sz="4" w:space="0"/>
            </w:tcBorders>
            <w:noWrap/>
            <w:vAlign w:val="center"/>
          </w:tcPr>
          <w:p w14:paraId="239761A7">
            <w:pPr>
              <w:adjustRightInd w:val="0"/>
              <w:snapToGrid w:val="0"/>
              <w:spacing w:line="240" w:lineRule="auto"/>
              <w:ind w:firstLine="0" w:firstLineChars="0"/>
              <w:jc w:val="center"/>
              <w:outlineLvl w:val="2"/>
              <w:rPr>
                <w:rFonts w:ascii="宋体" w:hAnsi="宋体" w:cs="宋体"/>
                <w:b/>
                <w:bCs/>
                <w:sz w:val="18"/>
                <w:szCs w:val="18"/>
              </w:rPr>
            </w:pPr>
            <w:r>
              <w:rPr>
                <w:rFonts w:hint="eastAsia" w:ascii="宋体" w:hAnsi="宋体" w:cs="宋体"/>
                <w:b/>
                <w:bCs/>
                <w:sz w:val="18"/>
                <w:szCs w:val="18"/>
              </w:rPr>
              <w:t>合同暂定效益审核费（元）</w:t>
            </w:r>
          </w:p>
        </w:tc>
        <w:tc>
          <w:tcPr>
            <w:tcW w:w="1271" w:type="dxa"/>
            <w:tcBorders>
              <w:top w:val="single" w:color="auto" w:sz="4" w:space="0"/>
              <w:left w:val="single" w:color="auto" w:sz="4" w:space="0"/>
              <w:bottom w:val="single" w:color="auto" w:sz="4" w:space="0"/>
              <w:right w:val="single" w:color="auto" w:sz="4" w:space="0"/>
            </w:tcBorders>
            <w:noWrap/>
            <w:vAlign w:val="center"/>
          </w:tcPr>
          <w:p w14:paraId="018A1BF0">
            <w:pPr>
              <w:adjustRightInd w:val="0"/>
              <w:snapToGrid w:val="0"/>
              <w:spacing w:line="240" w:lineRule="auto"/>
              <w:ind w:firstLine="0" w:firstLineChars="0"/>
              <w:jc w:val="center"/>
              <w:outlineLvl w:val="2"/>
              <w:rPr>
                <w:rFonts w:ascii="宋体" w:hAnsi="宋体" w:cs="宋体"/>
                <w:b/>
                <w:bCs/>
                <w:sz w:val="18"/>
                <w:szCs w:val="18"/>
              </w:rPr>
            </w:pPr>
            <w:r>
              <w:rPr>
                <w:rFonts w:hint="eastAsia" w:ascii="宋体" w:hAnsi="宋体" w:cs="宋体"/>
                <w:b/>
                <w:bCs/>
                <w:sz w:val="18"/>
                <w:szCs w:val="18"/>
              </w:rPr>
              <w:t>合计</w:t>
            </w:r>
          </w:p>
        </w:tc>
      </w:tr>
      <w:tr w14:paraId="0F095D16">
        <w:tblPrEx>
          <w:tblCellMar>
            <w:top w:w="0" w:type="dxa"/>
            <w:left w:w="108" w:type="dxa"/>
            <w:bottom w:w="0" w:type="dxa"/>
            <w:right w:w="108" w:type="dxa"/>
          </w:tblCellMar>
        </w:tblPrEx>
        <w:trPr>
          <w:trHeight w:val="753" w:hRule="atLeast"/>
        </w:trPr>
        <w:tc>
          <w:tcPr>
            <w:tcW w:w="978" w:type="dxa"/>
            <w:tcBorders>
              <w:top w:val="single" w:color="auto" w:sz="4" w:space="0"/>
              <w:left w:val="single" w:color="auto" w:sz="4" w:space="0"/>
              <w:bottom w:val="single" w:color="auto" w:sz="4" w:space="0"/>
              <w:right w:val="single" w:color="auto" w:sz="4" w:space="0"/>
            </w:tcBorders>
            <w:noWrap/>
            <w:vAlign w:val="center"/>
          </w:tcPr>
          <w:p w14:paraId="0546023F">
            <w:pPr>
              <w:adjustRightInd w:val="0"/>
              <w:snapToGrid w:val="0"/>
              <w:spacing w:line="240" w:lineRule="auto"/>
              <w:ind w:firstLine="0" w:firstLineChars="0"/>
              <w:jc w:val="center"/>
              <w:outlineLvl w:val="2"/>
              <w:rPr>
                <w:rFonts w:ascii="宋体" w:hAnsi="宋体" w:cs="宋体"/>
                <w:sz w:val="18"/>
                <w:szCs w:val="18"/>
              </w:rPr>
            </w:pPr>
          </w:p>
        </w:tc>
        <w:tc>
          <w:tcPr>
            <w:tcW w:w="1620" w:type="dxa"/>
            <w:tcBorders>
              <w:top w:val="single" w:color="auto" w:sz="4" w:space="0"/>
              <w:left w:val="single" w:color="auto" w:sz="4" w:space="0"/>
              <w:bottom w:val="single" w:color="auto" w:sz="4" w:space="0"/>
              <w:right w:val="single" w:color="auto" w:sz="4" w:space="0"/>
            </w:tcBorders>
            <w:noWrap/>
            <w:vAlign w:val="center"/>
          </w:tcPr>
          <w:p w14:paraId="69D0D661">
            <w:pPr>
              <w:adjustRightInd w:val="0"/>
              <w:snapToGrid w:val="0"/>
              <w:spacing w:line="240" w:lineRule="auto"/>
              <w:ind w:firstLine="0" w:firstLineChars="0"/>
              <w:jc w:val="center"/>
              <w:outlineLvl w:val="2"/>
              <w:rPr>
                <w:rFonts w:ascii="宋体" w:hAnsi="宋体" w:cs="宋体"/>
                <w:sz w:val="18"/>
                <w:szCs w:val="18"/>
              </w:rPr>
            </w:pPr>
          </w:p>
        </w:tc>
        <w:tc>
          <w:tcPr>
            <w:tcW w:w="1090" w:type="dxa"/>
            <w:vMerge w:val="restart"/>
            <w:tcBorders>
              <w:top w:val="single" w:color="auto" w:sz="4" w:space="0"/>
              <w:left w:val="single" w:color="auto" w:sz="4" w:space="0"/>
              <w:right w:val="single" w:color="auto" w:sz="4" w:space="0"/>
            </w:tcBorders>
            <w:noWrap/>
            <w:vAlign w:val="center"/>
          </w:tcPr>
          <w:p w14:paraId="0BBD453C">
            <w:pPr>
              <w:adjustRightInd w:val="0"/>
              <w:snapToGrid w:val="0"/>
              <w:spacing w:line="240" w:lineRule="auto"/>
              <w:ind w:firstLine="0" w:firstLineChars="0"/>
              <w:jc w:val="center"/>
              <w:outlineLvl w:val="2"/>
              <w:rPr>
                <w:rFonts w:ascii="宋体" w:hAnsi="宋体" w:cs="宋体"/>
                <w:sz w:val="18"/>
                <w:szCs w:val="18"/>
              </w:rPr>
            </w:pPr>
          </w:p>
        </w:tc>
        <w:tc>
          <w:tcPr>
            <w:tcW w:w="1120" w:type="dxa"/>
            <w:tcBorders>
              <w:top w:val="single" w:color="auto" w:sz="4" w:space="0"/>
              <w:left w:val="single" w:color="auto" w:sz="4" w:space="0"/>
              <w:bottom w:val="single" w:color="auto" w:sz="4" w:space="0"/>
              <w:right w:val="single" w:color="auto" w:sz="4" w:space="0"/>
            </w:tcBorders>
            <w:noWrap/>
            <w:vAlign w:val="center"/>
          </w:tcPr>
          <w:p w14:paraId="7715BF7F">
            <w:pPr>
              <w:adjustRightInd w:val="0"/>
              <w:snapToGrid w:val="0"/>
              <w:spacing w:line="240" w:lineRule="auto"/>
              <w:ind w:firstLine="0" w:firstLineChars="0"/>
              <w:jc w:val="both"/>
              <w:outlineLvl w:val="2"/>
              <w:rPr>
                <w:rFonts w:hint="default" w:ascii="宋体" w:hAnsi="宋体" w:eastAsia="宋体" w:cs="宋体"/>
                <w:sz w:val="18"/>
                <w:szCs w:val="18"/>
                <w:lang w:val="en-US" w:eastAsia="zh-CN"/>
              </w:rPr>
            </w:pPr>
          </w:p>
        </w:tc>
        <w:tc>
          <w:tcPr>
            <w:tcW w:w="1314" w:type="dxa"/>
            <w:vMerge w:val="restart"/>
            <w:tcBorders>
              <w:top w:val="single" w:color="auto" w:sz="4" w:space="0"/>
              <w:left w:val="single" w:color="auto" w:sz="4" w:space="0"/>
              <w:right w:val="single" w:color="auto" w:sz="4" w:space="0"/>
            </w:tcBorders>
            <w:noWrap/>
            <w:vAlign w:val="center"/>
          </w:tcPr>
          <w:p w14:paraId="18606DE4">
            <w:pPr>
              <w:adjustRightInd w:val="0"/>
              <w:snapToGrid w:val="0"/>
              <w:spacing w:line="240" w:lineRule="auto"/>
              <w:ind w:firstLine="0" w:firstLineChars="0"/>
              <w:jc w:val="center"/>
              <w:outlineLvl w:val="2"/>
              <w:rPr>
                <w:rFonts w:ascii="宋体" w:hAnsi="宋体" w:cs="宋体"/>
                <w:sz w:val="18"/>
                <w:szCs w:val="18"/>
              </w:rPr>
            </w:pPr>
          </w:p>
        </w:tc>
        <w:tc>
          <w:tcPr>
            <w:tcW w:w="1275" w:type="dxa"/>
            <w:vMerge w:val="restart"/>
            <w:tcBorders>
              <w:top w:val="single" w:color="auto" w:sz="4" w:space="0"/>
              <w:left w:val="single" w:color="auto" w:sz="4" w:space="0"/>
              <w:right w:val="single" w:color="auto" w:sz="4" w:space="0"/>
            </w:tcBorders>
            <w:noWrap/>
            <w:vAlign w:val="center"/>
          </w:tcPr>
          <w:p w14:paraId="466475F5">
            <w:pPr>
              <w:adjustRightInd w:val="0"/>
              <w:snapToGrid w:val="0"/>
              <w:spacing w:line="240" w:lineRule="auto"/>
              <w:ind w:firstLine="0" w:firstLineChars="0"/>
              <w:jc w:val="center"/>
              <w:outlineLvl w:val="2"/>
              <w:rPr>
                <w:rFonts w:ascii="宋体" w:hAnsi="宋体" w:cs="宋体"/>
                <w:sz w:val="18"/>
                <w:szCs w:val="18"/>
              </w:rPr>
            </w:pPr>
          </w:p>
        </w:tc>
        <w:tc>
          <w:tcPr>
            <w:tcW w:w="1271" w:type="dxa"/>
            <w:vMerge w:val="restart"/>
            <w:tcBorders>
              <w:top w:val="single" w:color="auto" w:sz="4" w:space="0"/>
              <w:left w:val="single" w:color="auto" w:sz="4" w:space="0"/>
              <w:right w:val="single" w:color="auto" w:sz="4" w:space="0"/>
            </w:tcBorders>
            <w:noWrap/>
            <w:vAlign w:val="center"/>
          </w:tcPr>
          <w:p w14:paraId="170DFF57">
            <w:pPr>
              <w:adjustRightInd w:val="0"/>
              <w:snapToGrid w:val="0"/>
              <w:spacing w:line="240" w:lineRule="auto"/>
              <w:ind w:firstLine="0" w:firstLineChars="0"/>
              <w:jc w:val="center"/>
              <w:outlineLvl w:val="2"/>
              <w:rPr>
                <w:rFonts w:hint="eastAsia" w:ascii="宋体" w:hAnsi="宋体" w:eastAsia="宋体" w:cs="宋体"/>
                <w:b/>
                <w:bCs/>
                <w:sz w:val="18"/>
                <w:szCs w:val="18"/>
                <w:lang w:val="en-US" w:eastAsia="zh-CN"/>
              </w:rPr>
            </w:pPr>
          </w:p>
        </w:tc>
      </w:tr>
      <w:tr w14:paraId="3ED4FBDD">
        <w:tblPrEx>
          <w:tblCellMar>
            <w:top w:w="0" w:type="dxa"/>
            <w:left w:w="108" w:type="dxa"/>
            <w:bottom w:w="0" w:type="dxa"/>
            <w:right w:w="108" w:type="dxa"/>
          </w:tblCellMar>
        </w:tblPrEx>
        <w:trPr>
          <w:trHeight w:val="753" w:hRule="atLeast"/>
        </w:trPr>
        <w:tc>
          <w:tcPr>
            <w:tcW w:w="978" w:type="dxa"/>
            <w:tcBorders>
              <w:top w:val="single" w:color="auto" w:sz="4" w:space="0"/>
              <w:left w:val="single" w:color="auto" w:sz="4" w:space="0"/>
              <w:bottom w:val="single" w:color="auto" w:sz="4" w:space="0"/>
              <w:right w:val="single" w:color="auto" w:sz="4" w:space="0"/>
            </w:tcBorders>
            <w:noWrap/>
            <w:vAlign w:val="center"/>
          </w:tcPr>
          <w:p w14:paraId="7544DC79">
            <w:pPr>
              <w:adjustRightInd w:val="0"/>
              <w:snapToGrid w:val="0"/>
              <w:spacing w:line="240" w:lineRule="auto"/>
              <w:ind w:firstLine="0" w:firstLineChars="0"/>
              <w:jc w:val="center"/>
              <w:outlineLvl w:val="2"/>
              <w:rPr>
                <w:rFonts w:ascii="宋体" w:hAnsi="宋体" w:cs="宋体"/>
                <w:sz w:val="18"/>
                <w:szCs w:val="18"/>
              </w:rPr>
            </w:pPr>
          </w:p>
        </w:tc>
        <w:tc>
          <w:tcPr>
            <w:tcW w:w="1620" w:type="dxa"/>
            <w:tcBorders>
              <w:top w:val="single" w:color="auto" w:sz="4" w:space="0"/>
              <w:left w:val="single" w:color="auto" w:sz="4" w:space="0"/>
              <w:bottom w:val="single" w:color="auto" w:sz="4" w:space="0"/>
              <w:right w:val="single" w:color="auto" w:sz="4" w:space="0"/>
            </w:tcBorders>
            <w:noWrap/>
            <w:vAlign w:val="center"/>
          </w:tcPr>
          <w:p w14:paraId="6DCAF2BC">
            <w:pPr>
              <w:adjustRightInd w:val="0"/>
              <w:snapToGrid w:val="0"/>
              <w:spacing w:line="240" w:lineRule="auto"/>
              <w:ind w:firstLine="0" w:firstLineChars="0"/>
              <w:jc w:val="center"/>
              <w:outlineLvl w:val="2"/>
              <w:rPr>
                <w:rFonts w:ascii="宋体" w:hAnsi="宋体" w:cs="宋体"/>
                <w:sz w:val="18"/>
                <w:szCs w:val="18"/>
              </w:rPr>
            </w:pPr>
          </w:p>
        </w:tc>
        <w:tc>
          <w:tcPr>
            <w:tcW w:w="1090" w:type="dxa"/>
            <w:vMerge w:val="continue"/>
            <w:tcBorders>
              <w:left w:val="single" w:color="auto" w:sz="4" w:space="0"/>
              <w:bottom w:val="single" w:color="auto" w:sz="4" w:space="0"/>
              <w:right w:val="single" w:color="auto" w:sz="4" w:space="0"/>
            </w:tcBorders>
            <w:noWrap/>
            <w:vAlign w:val="center"/>
          </w:tcPr>
          <w:p w14:paraId="1DCEFBFA">
            <w:pPr>
              <w:adjustRightInd w:val="0"/>
              <w:snapToGrid w:val="0"/>
              <w:spacing w:line="240" w:lineRule="auto"/>
              <w:ind w:firstLine="0" w:firstLineChars="0"/>
              <w:jc w:val="center"/>
              <w:outlineLvl w:val="2"/>
              <w:rPr>
                <w:rFonts w:ascii="宋体" w:hAnsi="宋体" w:cs="宋体"/>
                <w:sz w:val="18"/>
                <w:szCs w:val="18"/>
              </w:rPr>
            </w:pPr>
          </w:p>
        </w:tc>
        <w:tc>
          <w:tcPr>
            <w:tcW w:w="1120" w:type="dxa"/>
            <w:tcBorders>
              <w:top w:val="single" w:color="auto" w:sz="4" w:space="0"/>
              <w:left w:val="single" w:color="auto" w:sz="4" w:space="0"/>
              <w:bottom w:val="single" w:color="auto" w:sz="4" w:space="0"/>
              <w:right w:val="single" w:color="auto" w:sz="4" w:space="0"/>
            </w:tcBorders>
            <w:noWrap/>
            <w:vAlign w:val="center"/>
          </w:tcPr>
          <w:p w14:paraId="28A56C08">
            <w:pPr>
              <w:adjustRightInd w:val="0"/>
              <w:snapToGrid w:val="0"/>
              <w:spacing w:line="240" w:lineRule="auto"/>
              <w:ind w:firstLine="0" w:firstLineChars="0"/>
              <w:jc w:val="center"/>
              <w:outlineLvl w:val="2"/>
              <w:rPr>
                <w:rFonts w:ascii="宋体" w:hAnsi="宋体" w:cs="宋体"/>
                <w:sz w:val="18"/>
                <w:szCs w:val="18"/>
              </w:rPr>
            </w:pPr>
          </w:p>
        </w:tc>
        <w:tc>
          <w:tcPr>
            <w:tcW w:w="1314" w:type="dxa"/>
            <w:vMerge w:val="continue"/>
            <w:tcBorders>
              <w:left w:val="single" w:color="auto" w:sz="4" w:space="0"/>
              <w:bottom w:val="single" w:color="auto" w:sz="4" w:space="0"/>
              <w:right w:val="single" w:color="auto" w:sz="4" w:space="0"/>
            </w:tcBorders>
            <w:noWrap/>
            <w:vAlign w:val="center"/>
          </w:tcPr>
          <w:p w14:paraId="6D2E29F3">
            <w:pPr>
              <w:adjustRightInd w:val="0"/>
              <w:snapToGrid w:val="0"/>
              <w:spacing w:line="240" w:lineRule="auto"/>
              <w:ind w:firstLine="0" w:firstLineChars="0"/>
              <w:jc w:val="center"/>
              <w:outlineLvl w:val="2"/>
              <w:rPr>
                <w:rFonts w:ascii="宋体" w:hAnsi="宋体" w:cs="宋体"/>
                <w:sz w:val="18"/>
                <w:szCs w:val="18"/>
              </w:rPr>
            </w:pPr>
          </w:p>
        </w:tc>
        <w:tc>
          <w:tcPr>
            <w:tcW w:w="1275" w:type="dxa"/>
            <w:vMerge w:val="continue"/>
            <w:tcBorders>
              <w:left w:val="single" w:color="auto" w:sz="4" w:space="0"/>
              <w:bottom w:val="single" w:color="auto" w:sz="4" w:space="0"/>
              <w:right w:val="single" w:color="auto" w:sz="4" w:space="0"/>
            </w:tcBorders>
            <w:noWrap/>
            <w:vAlign w:val="center"/>
          </w:tcPr>
          <w:p w14:paraId="1F0C2E37">
            <w:pPr>
              <w:adjustRightInd w:val="0"/>
              <w:snapToGrid w:val="0"/>
              <w:spacing w:line="240" w:lineRule="auto"/>
              <w:ind w:firstLine="0" w:firstLineChars="0"/>
              <w:jc w:val="center"/>
              <w:outlineLvl w:val="2"/>
              <w:rPr>
                <w:rFonts w:ascii="宋体" w:hAnsi="宋体" w:cs="宋体"/>
                <w:sz w:val="18"/>
                <w:szCs w:val="18"/>
              </w:rPr>
            </w:pPr>
          </w:p>
        </w:tc>
        <w:tc>
          <w:tcPr>
            <w:tcW w:w="1271" w:type="dxa"/>
            <w:vMerge w:val="continue"/>
            <w:tcBorders>
              <w:left w:val="single" w:color="auto" w:sz="4" w:space="0"/>
              <w:right w:val="single" w:color="auto" w:sz="4" w:space="0"/>
            </w:tcBorders>
            <w:noWrap/>
            <w:vAlign w:val="center"/>
          </w:tcPr>
          <w:p w14:paraId="3155ACDA">
            <w:pPr>
              <w:adjustRightInd w:val="0"/>
              <w:snapToGrid w:val="0"/>
              <w:spacing w:line="240" w:lineRule="auto"/>
              <w:ind w:firstLine="0" w:firstLineChars="0"/>
              <w:jc w:val="center"/>
              <w:outlineLvl w:val="2"/>
              <w:rPr>
                <w:rFonts w:ascii="宋体" w:hAnsi="宋体" w:cs="宋体"/>
                <w:sz w:val="18"/>
                <w:szCs w:val="18"/>
              </w:rPr>
            </w:pPr>
          </w:p>
        </w:tc>
      </w:tr>
      <w:tr w14:paraId="6EDE7DCA">
        <w:tblPrEx>
          <w:tblCellMar>
            <w:top w:w="0" w:type="dxa"/>
            <w:left w:w="108" w:type="dxa"/>
            <w:bottom w:w="0" w:type="dxa"/>
            <w:right w:w="108" w:type="dxa"/>
          </w:tblCellMar>
        </w:tblPrEx>
        <w:trPr>
          <w:trHeight w:val="493" w:hRule="atLeast"/>
        </w:trPr>
        <w:tc>
          <w:tcPr>
            <w:tcW w:w="2598" w:type="dxa"/>
            <w:gridSpan w:val="2"/>
            <w:tcBorders>
              <w:top w:val="single" w:color="auto" w:sz="4" w:space="0"/>
              <w:left w:val="single" w:color="auto" w:sz="4" w:space="0"/>
              <w:bottom w:val="single" w:color="auto" w:sz="4" w:space="0"/>
              <w:right w:val="single" w:color="auto" w:sz="4" w:space="0"/>
            </w:tcBorders>
            <w:noWrap/>
            <w:vAlign w:val="center"/>
          </w:tcPr>
          <w:p w14:paraId="0BCF30DE">
            <w:pPr>
              <w:adjustRightInd w:val="0"/>
              <w:snapToGrid w:val="0"/>
              <w:spacing w:line="240" w:lineRule="auto"/>
              <w:ind w:firstLine="360"/>
              <w:jc w:val="center"/>
              <w:outlineLvl w:val="2"/>
              <w:rPr>
                <w:rFonts w:ascii="宋体" w:hAnsi="宋体" w:cs="宋体"/>
                <w:sz w:val="18"/>
                <w:szCs w:val="18"/>
              </w:rPr>
            </w:pPr>
            <w:r>
              <w:rPr>
                <w:rFonts w:hint="eastAsia" w:ascii="宋体" w:hAnsi="宋体" w:cs="宋体"/>
                <w:sz w:val="18"/>
                <w:szCs w:val="18"/>
              </w:rPr>
              <w:t>合计</w:t>
            </w:r>
          </w:p>
        </w:tc>
        <w:tc>
          <w:tcPr>
            <w:tcW w:w="2210" w:type="dxa"/>
            <w:gridSpan w:val="2"/>
            <w:tcBorders>
              <w:top w:val="single" w:color="auto" w:sz="4" w:space="0"/>
              <w:left w:val="single" w:color="auto" w:sz="4" w:space="0"/>
              <w:bottom w:val="single" w:color="auto" w:sz="4" w:space="0"/>
              <w:right w:val="single" w:color="auto" w:sz="4" w:space="0"/>
            </w:tcBorders>
            <w:noWrap/>
            <w:vAlign w:val="center"/>
          </w:tcPr>
          <w:p w14:paraId="2692777D">
            <w:pPr>
              <w:adjustRightInd w:val="0"/>
              <w:snapToGrid w:val="0"/>
              <w:spacing w:line="240" w:lineRule="auto"/>
              <w:ind w:firstLine="0" w:firstLineChars="0"/>
              <w:jc w:val="center"/>
              <w:outlineLvl w:val="2"/>
              <w:rPr>
                <w:rFonts w:hint="eastAsia" w:ascii="宋体" w:hAnsi="宋体" w:eastAsia="宋体" w:cs="宋体"/>
                <w:sz w:val="18"/>
                <w:szCs w:val="18"/>
                <w:lang w:eastAsia="zh-CN"/>
              </w:rPr>
            </w:pPr>
          </w:p>
        </w:tc>
        <w:tc>
          <w:tcPr>
            <w:tcW w:w="2589" w:type="dxa"/>
            <w:gridSpan w:val="2"/>
            <w:tcBorders>
              <w:top w:val="single" w:color="auto" w:sz="4" w:space="0"/>
              <w:left w:val="single" w:color="auto" w:sz="4" w:space="0"/>
              <w:bottom w:val="single" w:color="auto" w:sz="4" w:space="0"/>
              <w:right w:val="single" w:color="auto" w:sz="4" w:space="0"/>
            </w:tcBorders>
            <w:noWrap/>
            <w:vAlign w:val="center"/>
          </w:tcPr>
          <w:p w14:paraId="5BFEAAC9">
            <w:pPr>
              <w:adjustRightInd w:val="0"/>
              <w:snapToGrid w:val="0"/>
              <w:spacing w:line="240" w:lineRule="auto"/>
              <w:ind w:firstLine="360"/>
              <w:jc w:val="center"/>
              <w:outlineLvl w:val="2"/>
              <w:rPr>
                <w:rFonts w:ascii="宋体" w:hAnsi="宋体" w:cs="宋体"/>
                <w:sz w:val="18"/>
                <w:szCs w:val="18"/>
              </w:rPr>
            </w:pPr>
          </w:p>
        </w:tc>
        <w:tc>
          <w:tcPr>
            <w:tcW w:w="1271" w:type="dxa"/>
            <w:vMerge w:val="continue"/>
            <w:tcBorders>
              <w:left w:val="single" w:color="auto" w:sz="4" w:space="0"/>
              <w:bottom w:val="single" w:color="auto" w:sz="4" w:space="0"/>
              <w:right w:val="single" w:color="auto" w:sz="4" w:space="0"/>
            </w:tcBorders>
            <w:noWrap/>
            <w:vAlign w:val="center"/>
          </w:tcPr>
          <w:p w14:paraId="53EAB995">
            <w:pPr>
              <w:adjustRightInd w:val="0"/>
              <w:snapToGrid w:val="0"/>
              <w:spacing w:line="240" w:lineRule="auto"/>
              <w:ind w:firstLine="0" w:firstLineChars="0"/>
              <w:jc w:val="center"/>
              <w:outlineLvl w:val="2"/>
              <w:rPr>
                <w:rFonts w:ascii="宋体" w:hAnsi="宋体" w:cs="宋体"/>
                <w:sz w:val="18"/>
                <w:szCs w:val="18"/>
              </w:rPr>
            </w:pPr>
          </w:p>
        </w:tc>
      </w:tr>
    </w:tbl>
    <w:p w14:paraId="688CA777">
      <w:pPr>
        <w:snapToGrid w:val="0"/>
        <w:ind w:firstLine="420"/>
        <w:rPr>
          <w:rFonts w:ascii="宋体" w:hAnsi="宋体"/>
          <w:szCs w:val="21"/>
        </w:rPr>
      </w:pPr>
    </w:p>
    <w:p w14:paraId="77016E72">
      <w:pPr>
        <w:snapToGrid w:val="0"/>
        <w:ind w:firstLine="420"/>
        <w:rPr>
          <w:rFonts w:ascii="宋体" w:hAnsi="宋体"/>
          <w:szCs w:val="21"/>
        </w:rPr>
      </w:pPr>
      <w:r>
        <w:rPr>
          <w:rFonts w:hint="eastAsia" w:ascii="宋体" w:hAnsi="宋体"/>
          <w:szCs w:val="21"/>
        </w:rPr>
        <w:t>综上，总咨询酬金暂定为：含税价人民币：（小写）</w:t>
      </w:r>
      <w:r>
        <w:rPr>
          <w:rFonts w:hint="eastAsia" w:ascii="宋体" w:hAnsi="宋体"/>
          <w:szCs w:val="21"/>
          <w:u w:val="single"/>
          <w:lang w:val="en-US" w:eastAsia="zh-CN"/>
        </w:rPr>
        <w:t xml:space="preserve">      </w:t>
      </w:r>
      <w:r>
        <w:rPr>
          <w:rFonts w:hint="eastAsia" w:ascii="宋体" w:hAnsi="宋体"/>
          <w:szCs w:val="21"/>
        </w:rPr>
        <w:t>元，（大写）</w:t>
      </w:r>
      <w:r>
        <w:rPr>
          <w:rFonts w:hint="eastAsia" w:ascii="宋体" w:hAnsi="宋体"/>
          <w:szCs w:val="21"/>
          <w:u w:val="single"/>
          <w:lang w:val="en-US" w:eastAsia="zh-CN"/>
        </w:rPr>
        <w:t xml:space="preserve">        </w:t>
      </w:r>
      <w:r>
        <w:rPr>
          <w:rFonts w:hint="eastAsia" w:ascii="宋体" w:hAnsi="宋体"/>
          <w:szCs w:val="21"/>
        </w:rPr>
        <w:t>。不含税金额为</w:t>
      </w:r>
      <w:r>
        <w:rPr>
          <w:rFonts w:hint="eastAsia" w:ascii="宋体" w:hAnsi="宋体"/>
          <w:szCs w:val="21"/>
          <w:u w:val="single"/>
          <w:lang w:val="en-US" w:eastAsia="zh-CN"/>
        </w:rPr>
        <w:t xml:space="preserve">        </w:t>
      </w:r>
      <w:r>
        <w:rPr>
          <w:rFonts w:hint="eastAsia" w:ascii="宋体" w:hAnsi="宋体"/>
          <w:szCs w:val="21"/>
        </w:rPr>
        <w:t>元。</w:t>
      </w:r>
    </w:p>
    <w:p w14:paraId="0CF7130A">
      <w:pPr>
        <w:snapToGrid w:val="0"/>
        <w:ind w:firstLine="420"/>
        <w:rPr>
          <w:rFonts w:ascii="宋体" w:hAnsi="宋体"/>
          <w:szCs w:val="21"/>
        </w:rPr>
      </w:pPr>
      <w:r>
        <w:rPr>
          <w:rFonts w:hint="eastAsia" w:ascii="宋体" w:hAnsi="宋体"/>
          <w:szCs w:val="21"/>
        </w:rPr>
        <w:t>最终结算价格以甲方确认的结果为准，项目按规定须提交深圳市龙华区财政评审中心评审的，则最终结算价以深圳市龙华区财政评审中心评审结论为准（若项目按规定须提交政府审计部门审计的，则最终结算价以政府审计部门审计结果为准）。</w:t>
      </w:r>
    </w:p>
    <w:p w14:paraId="7DA2116A">
      <w:pPr>
        <w:adjustRightInd w:val="0"/>
        <w:snapToGrid w:val="0"/>
        <w:ind w:firstLine="428"/>
        <w:jc w:val="left"/>
        <w:outlineLvl w:val="2"/>
        <w:rPr>
          <w:rFonts w:ascii="宋体" w:hAnsi="宋体"/>
          <w:b/>
          <w:bCs/>
          <w:szCs w:val="21"/>
        </w:rPr>
      </w:pPr>
      <w:r>
        <w:rPr>
          <w:rFonts w:hint="eastAsia" w:ascii="宋体" w:hAnsi="宋体"/>
          <w:b/>
          <w:bCs/>
          <w:szCs w:val="21"/>
        </w:rPr>
        <w:t>九、成果要求</w:t>
      </w:r>
    </w:p>
    <w:p w14:paraId="4D8304D8">
      <w:pPr>
        <w:adjustRightInd w:val="0"/>
        <w:snapToGrid w:val="0"/>
        <w:ind w:firstLine="420"/>
        <w:jc w:val="left"/>
        <w:outlineLvl w:val="2"/>
        <w:rPr>
          <w:rFonts w:ascii="宋体" w:hAnsi="宋体"/>
          <w:szCs w:val="21"/>
        </w:rPr>
      </w:pPr>
      <w:r>
        <w:rPr>
          <w:rFonts w:hint="eastAsia" w:ascii="宋体" w:hAnsi="宋体"/>
          <w:szCs w:val="21"/>
        </w:rPr>
        <w:t>乙方应严格按照以下要求向甲方提交最终成果文件（资料）：</w:t>
      </w:r>
    </w:p>
    <w:tbl>
      <w:tblPr>
        <w:tblStyle w:val="9"/>
        <w:tblpPr w:leftFromText="180" w:rightFromText="180" w:vertAnchor="text" w:horzAnchor="page" w:tblpX="1636" w:tblpY="161"/>
        <w:tblOverlap w:val="never"/>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2770"/>
        <w:gridCol w:w="1858"/>
        <w:gridCol w:w="1858"/>
      </w:tblGrid>
      <w:tr w14:paraId="45FD2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65DBDB1">
            <w:pPr>
              <w:spacing w:line="240" w:lineRule="auto"/>
              <w:ind w:firstLine="0" w:firstLineChars="0"/>
              <w:jc w:val="center"/>
              <w:rPr>
                <w:rFonts w:ascii="宋体" w:hAnsi="宋体"/>
                <w:szCs w:val="21"/>
              </w:rPr>
            </w:pPr>
            <w:r>
              <w:rPr>
                <w:rFonts w:hint="eastAsia" w:ascii="宋体" w:hAnsi="宋体"/>
                <w:szCs w:val="21"/>
              </w:rPr>
              <w:t>序号</w:t>
            </w:r>
          </w:p>
        </w:tc>
        <w:tc>
          <w:tcPr>
            <w:tcW w:w="2127" w:type="dxa"/>
            <w:vAlign w:val="center"/>
          </w:tcPr>
          <w:p w14:paraId="4543065E">
            <w:pPr>
              <w:spacing w:line="240" w:lineRule="auto"/>
              <w:ind w:firstLine="0" w:firstLineChars="0"/>
              <w:jc w:val="center"/>
              <w:rPr>
                <w:rFonts w:ascii="宋体" w:hAnsi="宋体"/>
                <w:szCs w:val="21"/>
              </w:rPr>
            </w:pPr>
            <w:r>
              <w:rPr>
                <w:rFonts w:hint="eastAsia" w:ascii="宋体" w:hAnsi="宋体"/>
                <w:szCs w:val="21"/>
              </w:rPr>
              <w:t>文件（资料）名称</w:t>
            </w:r>
          </w:p>
        </w:tc>
        <w:tc>
          <w:tcPr>
            <w:tcW w:w="2770" w:type="dxa"/>
            <w:vAlign w:val="center"/>
          </w:tcPr>
          <w:p w14:paraId="37582089">
            <w:pPr>
              <w:spacing w:line="240" w:lineRule="auto"/>
              <w:ind w:firstLine="0" w:firstLineChars="0"/>
              <w:jc w:val="center"/>
              <w:rPr>
                <w:rFonts w:ascii="宋体" w:hAnsi="宋体"/>
                <w:szCs w:val="21"/>
              </w:rPr>
            </w:pPr>
            <w:r>
              <w:rPr>
                <w:rFonts w:hint="eastAsia" w:ascii="宋体" w:hAnsi="宋体"/>
                <w:szCs w:val="21"/>
              </w:rPr>
              <w:t>数量及格式</w:t>
            </w:r>
          </w:p>
        </w:tc>
        <w:tc>
          <w:tcPr>
            <w:tcW w:w="1858" w:type="dxa"/>
            <w:vAlign w:val="center"/>
          </w:tcPr>
          <w:p w14:paraId="4AE5002F">
            <w:pPr>
              <w:spacing w:line="240" w:lineRule="auto"/>
              <w:ind w:firstLine="420"/>
              <w:rPr>
                <w:rFonts w:ascii="宋体" w:hAnsi="宋体"/>
                <w:szCs w:val="21"/>
              </w:rPr>
            </w:pPr>
            <w:r>
              <w:rPr>
                <w:rFonts w:hint="eastAsia" w:ascii="宋体" w:hAnsi="宋体"/>
                <w:szCs w:val="21"/>
              </w:rPr>
              <w:t>形式要求</w:t>
            </w:r>
          </w:p>
        </w:tc>
        <w:tc>
          <w:tcPr>
            <w:tcW w:w="1858" w:type="dxa"/>
            <w:vAlign w:val="center"/>
          </w:tcPr>
          <w:p w14:paraId="4E44F1CD">
            <w:pPr>
              <w:spacing w:line="240" w:lineRule="auto"/>
              <w:ind w:firstLine="420"/>
              <w:rPr>
                <w:rFonts w:ascii="宋体" w:hAnsi="宋体"/>
                <w:szCs w:val="21"/>
              </w:rPr>
            </w:pPr>
            <w:r>
              <w:rPr>
                <w:rFonts w:hint="eastAsia" w:ascii="宋体" w:hAnsi="宋体"/>
                <w:szCs w:val="21"/>
              </w:rPr>
              <w:t>备注</w:t>
            </w:r>
          </w:p>
        </w:tc>
      </w:tr>
      <w:tr w14:paraId="65C35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AD22FCC">
            <w:pPr>
              <w:spacing w:line="240" w:lineRule="auto"/>
              <w:ind w:firstLine="0" w:firstLineChars="0"/>
              <w:jc w:val="center"/>
              <w:rPr>
                <w:rFonts w:ascii="宋体" w:hAnsi="宋体"/>
                <w:szCs w:val="21"/>
              </w:rPr>
            </w:pPr>
            <w:r>
              <w:rPr>
                <w:rFonts w:hint="eastAsia" w:ascii="宋体" w:hAnsi="宋体"/>
                <w:szCs w:val="21"/>
              </w:rPr>
              <w:t>1</w:t>
            </w:r>
          </w:p>
        </w:tc>
        <w:tc>
          <w:tcPr>
            <w:tcW w:w="2127" w:type="dxa"/>
            <w:vAlign w:val="center"/>
          </w:tcPr>
          <w:p w14:paraId="0C80670D">
            <w:pPr>
              <w:spacing w:line="240" w:lineRule="auto"/>
              <w:ind w:firstLineChars="0"/>
              <w:rPr>
                <w:rFonts w:ascii="宋体" w:hAnsi="宋体"/>
                <w:szCs w:val="21"/>
              </w:rPr>
            </w:pPr>
            <w:r>
              <w:rPr>
                <w:rFonts w:hint="eastAsia" w:ascii="宋体" w:hAnsi="宋体"/>
                <w:szCs w:val="21"/>
              </w:rPr>
              <w:t>预结算审核报告书,包括：封面、预结算审核说明、建安费审核明细表（含单项工程、单位工程、分部分项工程、措施项目、规费等表）</w:t>
            </w:r>
          </w:p>
        </w:tc>
        <w:tc>
          <w:tcPr>
            <w:tcW w:w="2770" w:type="dxa"/>
            <w:vAlign w:val="center"/>
          </w:tcPr>
          <w:p w14:paraId="34FE0B35">
            <w:pPr>
              <w:spacing w:line="240" w:lineRule="auto"/>
              <w:ind w:firstLine="0" w:firstLineChars="0"/>
              <w:jc w:val="center"/>
              <w:rPr>
                <w:rFonts w:ascii="宋体" w:hAnsi="宋体"/>
                <w:szCs w:val="21"/>
              </w:rPr>
            </w:pPr>
            <w:r>
              <w:rPr>
                <w:rFonts w:hint="eastAsia" w:ascii="宋体" w:hAnsi="宋体"/>
                <w:szCs w:val="21"/>
              </w:rPr>
              <w:t>纸质版1份、电子版1份（其中封面为PDF格式，预结算审核说明为word格式,建安费审核明细表为excel格式）</w:t>
            </w:r>
          </w:p>
        </w:tc>
        <w:tc>
          <w:tcPr>
            <w:tcW w:w="1858" w:type="dxa"/>
            <w:vMerge w:val="restart"/>
            <w:vAlign w:val="center"/>
          </w:tcPr>
          <w:p w14:paraId="1100AD8C">
            <w:pPr>
              <w:spacing w:line="240" w:lineRule="auto"/>
              <w:ind w:firstLine="0" w:firstLineChars="0"/>
              <w:rPr>
                <w:rFonts w:ascii="宋体" w:hAnsi="宋体"/>
                <w:szCs w:val="21"/>
              </w:rPr>
            </w:pPr>
            <w:r>
              <w:rPr>
                <w:rFonts w:hint="eastAsia" w:ascii="宋体" w:hAnsi="宋体"/>
                <w:szCs w:val="21"/>
              </w:rPr>
              <w:t>单位技术负责人及项目负责人、经办人签署并加盖乙方公章。</w:t>
            </w:r>
          </w:p>
        </w:tc>
        <w:tc>
          <w:tcPr>
            <w:tcW w:w="1858" w:type="dxa"/>
            <w:vAlign w:val="center"/>
          </w:tcPr>
          <w:p w14:paraId="620E9DA9">
            <w:pPr>
              <w:spacing w:line="240" w:lineRule="auto"/>
              <w:ind w:left="840" w:firstLine="420"/>
              <w:jc w:val="center"/>
              <w:rPr>
                <w:rFonts w:ascii="宋体" w:hAnsi="宋体"/>
                <w:szCs w:val="21"/>
              </w:rPr>
            </w:pPr>
          </w:p>
        </w:tc>
      </w:tr>
      <w:tr w14:paraId="32241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24890D1">
            <w:pPr>
              <w:spacing w:line="240" w:lineRule="auto"/>
              <w:ind w:firstLine="0" w:firstLineChars="0"/>
              <w:jc w:val="center"/>
              <w:rPr>
                <w:rFonts w:ascii="宋体" w:hAnsi="宋体"/>
                <w:szCs w:val="21"/>
              </w:rPr>
            </w:pPr>
            <w:r>
              <w:rPr>
                <w:rFonts w:hint="eastAsia" w:ascii="宋体" w:hAnsi="宋体"/>
                <w:szCs w:val="21"/>
              </w:rPr>
              <w:t>2</w:t>
            </w:r>
          </w:p>
        </w:tc>
        <w:tc>
          <w:tcPr>
            <w:tcW w:w="2127" w:type="dxa"/>
            <w:vAlign w:val="center"/>
          </w:tcPr>
          <w:p w14:paraId="04E86CB5">
            <w:pPr>
              <w:spacing w:line="240" w:lineRule="auto"/>
              <w:ind w:firstLine="0" w:firstLineChars="0"/>
              <w:jc w:val="center"/>
              <w:rPr>
                <w:rFonts w:ascii="宋体" w:hAnsi="宋体"/>
                <w:szCs w:val="21"/>
              </w:rPr>
            </w:pPr>
            <w:r>
              <w:rPr>
                <w:rFonts w:hint="eastAsia" w:ascii="宋体" w:hAnsi="宋体"/>
                <w:szCs w:val="21"/>
              </w:rPr>
              <w:t>预结算审核计价文件</w:t>
            </w:r>
          </w:p>
        </w:tc>
        <w:tc>
          <w:tcPr>
            <w:tcW w:w="2770" w:type="dxa"/>
            <w:vAlign w:val="center"/>
          </w:tcPr>
          <w:p w14:paraId="639F19DE">
            <w:pPr>
              <w:spacing w:line="240" w:lineRule="auto"/>
              <w:ind w:firstLine="0" w:firstLineChars="0"/>
              <w:jc w:val="center"/>
              <w:rPr>
                <w:rFonts w:ascii="宋体" w:hAnsi="宋体"/>
                <w:szCs w:val="21"/>
              </w:rPr>
            </w:pPr>
            <w:r>
              <w:rPr>
                <w:rFonts w:hint="eastAsia" w:ascii="宋体" w:hAnsi="宋体"/>
                <w:szCs w:val="21"/>
              </w:rPr>
              <w:t>电子版1份（QDY）</w:t>
            </w:r>
          </w:p>
        </w:tc>
        <w:tc>
          <w:tcPr>
            <w:tcW w:w="1858" w:type="dxa"/>
            <w:vMerge w:val="continue"/>
            <w:vAlign w:val="center"/>
          </w:tcPr>
          <w:p w14:paraId="69B049BD">
            <w:pPr>
              <w:spacing w:line="240" w:lineRule="auto"/>
              <w:ind w:left="840" w:firstLine="420"/>
              <w:jc w:val="center"/>
              <w:rPr>
                <w:rFonts w:ascii="宋体" w:hAnsi="宋体"/>
                <w:szCs w:val="21"/>
              </w:rPr>
            </w:pPr>
          </w:p>
        </w:tc>
        <w:tc>
          <w:tcPr>
            <w:tcW w:w="1858" w:type="dxa"/>
            <w:vAlign w:val="center"/>
          </w:tcPr>
          <w:p w14:paraId="2B09CDAC">
            <w:pPr>
              <w:spacing w:line="240" w:lineRule="auto"/>
              <w:ind w:left="840" w:firstLine="420"/>
              <w:jc w:val="center"/>
              <w:rPr>
                <w:rFonts w:ascii="宋体" w:hAnsi="宋体"/>
                <w:szCs w:val="21"/>
              </w:rPr>
            </w:pPr>
          </w:p>
        </w:tc>
      </w:tr>
      <w:tr w14:paraId="5E883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E67F144">
            <w:pPr>
              <w:spacing w:line="240" w:lineRule="auto"/>
              <w:ind w:firstLine="0" w:firstLineChars="0"/>
              <w:jc w:val="center"/>
              <w:rPr>
                <w:rFonts w:ascii="宋体" w:hAnsi="宋体"/>
                <w:szCs w:val="21"/>
              </w:rPr>
            </w:pPr>
            <w:r>
              <w:rPr>
                <w:rFonts w:hint="eastAsia" w:ascii="宋体" w:hAnsi="宋体"/>
                <w:szCs w:val="21"/>
              </w:rPr>
              <w:t>3</w:t>
            </w:r>
          </w:p>
        </w:tc>
        <w:tc>
          <w:tcPr>
            <w:tcW w:w="2127" w:type="dxa"/>
            <w:vAlign w:val="center"/>
          </w:tcPr>
          <w:p w14:paraId="649F7F57">
            <w:pPr>
              <w:spacing w:line="240" w:lineRule="auto"/>
              <w:ind w:firstLine="0" w:firstLineChars="0"/>
              <w:jc w:val="center"/>
              <w:rPr>
                <w:rFonts w:ascii="宋体" w:hAnsi="宋体"/>
                <w:szCs w:val="21"/>
              </w:rPr>
            </w:pPr>
            <w:r>
              <w:rPr>
                <w:rFonts w:hint="eastAsia" w:ascii="宋体" w:hAnsi="宋体"/>
                <w:szCs w:val="21"/>
              </w:rPr>
              <w:t>工程量计算底稿</w:t>
            </w:r>
          </w:p>
        </w:tc>
        <w:tc>
          <w:tcPr>
            <w:tcW w:w="2770" w:type="dxa"/>
            <w:vAlign w:val="center"/>
          </w:tcPr>
          <w:p w14:paraId="55E50AF0">
            <w:pPr>
              <w:spacing w:line="240" w:lineRule="auto"/>
              <w:ind w:firstLine="0" w:firstLineChars="0"/>
              <w:jc w:val="center"/>
              <w:rPr>
                <w:rFonts w:ascii="宋体" w:hAnsi="宋体"/>
                <w:szCs w:val="21"/>
              </w:rPr>
            </w:pPr>
            <w:r>
              <w:rPr>
                <w:rFonts w:hint="eastAsia" w:ascii="宋体" w:hAnsi="宋体"/>
                <w:szCs w:val="21"/>
              </w:rPr>
              <w:t>纸质版1份，电子版1份（excel）</w:t>
            </w:r>
          </w:p>
        </w:tc>
        <w:tc>
          <w:tcPr>
            <w:tcW w:w="1858" w:type="dxa"/>
            <w:vMerge w:val="continue"/>
            <w:vAlign w:val="center"/>
          </w:tcPr>
          <w:p w14:paraId="4EE18D53">
            <w:pPr>
              <w:spacing w:line="240" w:lineRule="auto"/>
              <w:ind w:left="840" w:firstLine="420"/>
              <w:jc w:val="center"/>
              <w:rPr>
                <w:rFonts w:ascii="宋体" w:hAnsi="宋体"/>
                <w:szCs w:val="21"/>
              </w:rPr>
            </w:pPr>
          </w:p>
        </w:tc>
        <w:tc>
          <w:tcPr>
            <w:tcW w:w="1858" w:type="dxa"/>
            <w:vAlign w:val="center"/>
          </w:tcPr>
          <w:p w14:paraId="3DF797D2">
            <w:pPr>
              <w:spacing w:line="240" w:lineRule="auto"/>
              <w:ind w:left="840" w:firstLine="420"/>
              <w:jc w:val="center"/>
              <w:rPr>
                <w:rFonts w:ascii="宋体" w:hAnsi="宋体"/>
                <w:szCs w:val="21"/>
              </w:rPr>
            </w:pPr>
          </w:p>
        </w:tc>
      </w:tr>
      <w:tr w14:paraId="00B01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AD8E9E9">
            <w:pPr>
              <w:spacing w:line="240" w:lineRule="auto"/>
              <w:ind w:firstLine="0" w:firstLineChars="0"/>
              <w:jc w:val="center"/>
              <w:rPr>
                <w:rFonts w:ascii="宋体" w:hAnsi="宋体"/>
                <w:szCs w:val="21"/>
              </w:rPr>
            </w:pPr>
            <w:r>
              <w:rPr>
                <w:rFonts w:hint="eastAsia" w:ascii="宋体" w:hAnsi="宋体"/>
                <w:szCs w:val="21"/>
              </w:rPr>
              <w:t>4</w:t>
            </w:r>
          </w:p>
        </w:tc>
        <w:tc>
          <w:tcPr>
            <w:tcW w:w="2127" w:type="dxa"/>
            <w:vAlign w:val="center"/>
          </w:tcPr>
          <w:p w14:paraId="5E9252EE">
            <w:pPr>
              <w:spacing w:line="240" w:lineRule="auto"/>
              <w:ind w:firstLine="0" w:firstLineChars="0"/>
              <w:jc w:val="center"/>
              <w:rPr>
                <w:rFonts w:ascii="宋体" w:hAnsi="宋体"/>
                <w:szCs w:val="21"/>
              </w:rPr>
            </w:pPr>
            <w:r>
              <w:rPr>
                <w:rFonts w:hint="eastAsia" w:ascii="宋体" w:hAnsi="宋体"/>
                <w:szCs w:val="21"/>
              </w:rPr>
              <w:t>送审预结算与审核后预结算对比表</w:t>
            </w:r>
          </w:p>
        </w:tc>
        <w:tc>
          <w:tcPr>
            <w:tcW w:w="2770" w:type="dxa"/>
            <w:vAlign w:val="center"/>
          </w:tcPr>
          <w:p w14:paraId="2E8452A6">
            <w:pPr>
              <w:spacing w:line="240" w:lineRule="auto"/>
              <w:ind w:firstLine="0" w:firstLineChars="0"/>
              <w:jc w:val="center"/>
              <w:rPr>
                <w:rFonts w:ascii="宋体" w:hAnsi="宋体"/>
                <w:szCs w:val="21"/>
              </w:rPr>
            </w:pPr>
            <w:r>
              <w:rPr>
                <w:rFonts w:hint="eastAsia" w:ascii="宋体" w:hAnsi="宋体"/>
                <w:szCs w:val="21"/>
              </w:rPr>
              <w:t>纸质版1份，电子版1份（excel）</w:t>
            </w:r>
          </w:p>
        </w:tc>
        <w:tc>
          <w:tcPr>
            <w:tcW w:w="1858" w:type="dxa"/>
            <w:vMerge w:val="continue"/>
            <w:vAlign w:val="center"/>
          </w:tcPr>
          <w:p w14:paraId="25636A25">
            <w:pPr>
              <w:spacing w:line="240" w:lineRule="auto"/>
              <w:ind w:left="840" w:firstLine="420"/>
              <w:jc w:val="center"/>
              <w:rPr>
                <w:rFonts w:ascii="宋体" w:hAnsi="宋体"/>
                <w:szCs w:val="21"/>
              </w:rPr>
            </w:pPr>
          </w:p>
        </w:tc>
        <w:tc>
          <w:tcPr>
            <w:tcW w:w="1858" w:type="dxa"/>
            <w:vAlign w:val="center"/>
          </w:tcPr>
          <w:p w14:paraId="71EBDDFD">
            <w:pPr>
              <w:spacing w:line="240" w:lineRule="auto"/>
              <w:ind w:left="840" w:firstLine="420"/>
              <w:jc w:val="center"/>
              <w:rPr>
                <w:rFonts w:ascii="宋体" w:hAnsi="宋体"/>
                <w:szCs w:val="21"/>
              </w:rPr>
            </w:pPr>
          </w:p>
        </w:tc>
      </w:tr>
      <w:tr w14:paraId="5BCC2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E6A021C">
            <w:pPr>
              <w:spacing w:line="240" w:lineRule="auto"/>
              <w:ind w:firstLine="0" w:firstLineChars="0"/>
              <w:jc w:val="center"/>
              <w:rPr>
                <w:rFonts w:ascii="宋体" w:hAnsi="宋体"/>
                <w:szCs w:val="21"/>
              </w:rPr>
            </w:pPr>
            <w:r>
              <w:rPr>
                <w:rFonts w:hint="eastAsia" w:ascii="宋体" w:hAnsi="宋体"/>
                <w:szCs w:val="21"/>
              </w:rPr>
              <w:t>5</w:t>
            </w:r>
          </w:p>
        </w:tc>
        <w:tc>
          <w:tcPr>
            <w:tcW w:w="2127" w:type="dxa"/>
            <w:vAlign w:val="center"/>
          </w:tcPr>
          <w:p w14:paraId="43DFE69B">
            <w:pPr>
              <w:spacing w:line="240" w:lineRule="auto"/>
              <w:ind w:firstLine="0" w:firstLineChars="0"/>
              <w:jc w:val="center"/>
              <w:rPr>
                <w:rFonts w:ascii="宋体" w:hAnsi="宋体"/>
                <w:szCs w:val="21"/>
              </w:rPr>
            </w:pPr>
            <w:r>
              <w:rPr>
                <w:rFonts w:hint="eastAsia" w:ascii="宋体" w:hAnsi="宋体"/>
                <w:szCs w:val="21"/>
              </w:rPr>
              <w:t>询价文件资料</w:t>
            </w:r>
          </w:p>
        </w:tc>
        <w:tc>
          <w:tcPr>
            <w:tcW w:w="2770" w:type="dxa"/>
            <w:vAlign w:val="center"/>
          </w:tcPr>
          <w:p w14:paraId="7F9EA60A">
            <w:pPr>
              <w:spacing w:line="240" w:lineRule="auto"/>
              <w:ind w:firstLine="0" w:firstLineChars="0"/>
              <w:jc w:val="center"/>
              <w:rPr>
                <w:rFonts w:ascii="宋体" w:hAnsi="宋体"/>
                <w:szCs w:val="21"/>
              </w:rPr>
            </w:pPr>
            <w:r>
              <w:rPr>
                <w:rFonts w:hint="eastAsia" w:ascii="宋体" w:hAnsi="宋体"/>
                <w:szCs w:val="21"/>
              </w:rPr>
              <w:t>纸质版1份，电子版1份（excel或word）</w:t>
            </w:r>
          </w:p>
        </w:tc>
        <w:tc>
          <w:tcPr>
            <w:tcW w:w="1858" w:type="dxa"/>
            <w:vMerge w:val="continue"/>
            <w:vAlign w:val="center"/>
          </w:tcPr>
          <w:p w14:paraId="0454D6C1">
            <w:pPr>
              <w:spacing w:line="240" w:lineRule="auto"/>
              <w:ind w:left="840" w:firstLine="420"/>
              <w:jc w:val="center"/>
              <w:rPr>
                <w:rFonts w:ascii="宋体" w:hAnsi="宋体"/>
                <w:szCs w:val="21"/>
              </w:rPr>
            </w:pPr>
          </w:p>
        </w:tc>
        <w:tc>
          <w:tcPr>
            <w:tcW w:w="1858" w:type="dxa"/>
            <w:vAlign w:val="center"/>
          </w:tcPr>
          <w:p w14:paraId="45BF6D2D">
            <w:pPr>
              <w:spacing w:line="240" w:lineRule="auto"/>
              <w:ind w:left="840" w:firstLine="420"/>
              <w:jc w:val="center"/>
              <w:rPr>
                <w:rFonts w:ascii="宋体" w:hAnsi="宋体"/>
                <w:szCs w:val="21"/>
              </w:rPr>
            </w:pPr>
          </w:p>
        </w:tc>
      </w:tr>
      <w:tr w14:paraId="17C0F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10C8CB1">
            <w:pPr>
              <w:spacing w:line="240" w:lineRule="auto"/>
              <w:ind w:firstLine="0" w:firstLineChars="0"/>
              <w:jc w:val="center"/>
              <w:rPr>
                <w:rFonts w:ascii="宋体" w:hAnsi="宋体"/>
                <w:szCs w:val="21"/>
              </w:rPr>
            </w:pPr>
            <w:bookmarkStart w:id="6" w:name="_Toc2937"/>
            <w:bookmarkStart w:id="7" w:name="_Toc23351"/>
            <w:bookmarkStart w:id="8" w:name="_Toc28572"/>
            <w:bookmarkStart w:id="9" w:name="_Toc25256"/>
            <w:r>
              <w:rPr>
                <w:rFonts w:hint="eastAsia" w:ascii="宋体" w:hAnsi="宋体"/>
                <w:szCs w:val="21"/>
              </w:rPr>
              <w:t>6</w:t>
            </w:r>
          </w:p>
        </w:tc>
        <w:tc>
          <w:tcPr>
            <w:tcW w:w="2127" w:type="dxa"/>
            <w:vAlign w:val="center"/>
          </w:tcPr>
          <w:p w14:paraId="197E31BA">
            <w:pPr>
              <w:spacing w:line="240" w:lineRule="auto"/>
              <w:ind w:firstLine="0" w:firstLineChars="0"/>
              <w:jc w:val="center"/>
              <w:rPr>
                <w:rFonts w:ascii="宋体" w:hAnsi="宋体"/>
                <w:szCs w:val="21"/>
              </w:rPr>
            </w:pPr>
            <w:r>
              <w:rPr>
                <w:rFonts w:hint="eastAsia" w:ascii="宋体" w:hAnsi="宋体"/>
                <w:szCs w:val="21"/>
              </w:rPr>
              <w:t>经济技术指标分析说明</w:t>
            </w:r>
          </w:p>
        </w:tc>
        <w:tc>
          <w:tcPr>
            <w:tcW w:w="2770" w:type="dxa"/>
            <w:vAlign w:val="center"/>
          </w:tcPr>
          <w:p w14:paraId="194674BB">
            <w:pPr>
              <w:spacing w:line="240" w:lineRule="auto"/>
              <w:ind w:firstLine="0" w:firstLineChars="0"/>
              <w:jc w:val="center"/>
              <w:rPr>
                <w:rFonts w:ascii="宋体" w:hAnsi="宋体"/>
                <w:szCs w:val="21"/>
              </w:rPr>
            </w:pPr>
            <w:r>
              <w:rPr>
                <w:rFonts w:hint="eastAsia" w:ascii="宋体" w:hAnsi="宋体"/>
                <w:szCs w:val="21"/>
              </w:rPr>
              <w:t>纸质版1份，电子版1份（excel或word）</w:t>
            </w:r>
          </w:p>
        </w:tc>
        <w:tc>
          <w:tcPr>
            <w:tcW w:w="1858" w:type="dxa"/>
            <w:vMerge w:val="continue"/>
            <w:vAlign w:val="center"/>
          </w:tcPr>
          <w:p w14:paraId="3EF8DA56">
            <w:pPr>
              <w:spacing w:line="240" w:lineRule="auto"/>
              <w:ind w:left="840" w:firstLine="420"/>
              <w:jc w:val="center"/>
              <w:rPr>
                <w:rFonts w:ascii="宋体" w:hAnsi="宋体"/>
                <w:szCs w:val="21"/>
              </w:rPr>
            </w:pPr>
          </w:p>
        </w:tc>
        <w:tc>
          <w:tcPr>
            <w:tcW w:w="1858" w:type="dxa"/>
            <w:vAlign w:val="center"/>
          </w:tcPr>
          <w:p w14:paraId="6BDCFC1E">
            <w:pPr>
              <w:spacing w:line="240" w:lineRule="auto"/>
              <w:ind w:left="840" w:firstLine="420"/>
              <w:jc w:val="center"/>
              <w:rPr>
                <w:rFonts w:ascii="宋体" w:hAnsi="宋体"/>
                <w:szCs w:val="21"/>
              </w:rPr>
            </w:pPr>
          </w:p>
        </w:tc>
      </w:tr>
      <w:tr w14:paraId="4CFEC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055BE56">
            <w:pPr>
              <w:spacing w:line="240" w:lineRule="auto"/>
              <w:ind w:firstLine="0" w:firstLineChars="0"/>
              <w:jc w:val="center"/>
              <w:rPr>
                <w:rFonts w:ascii="宋体" w:hAnsi="宋体"/>
                <w:szCs w:val="21"/>
              </w:rPr>
            </w:pPr>
            <w:r>
              <w:rPr>
                <w:rFonts w:hint="eastAsia" w:ascii="宋体" w:hAnsi="宋体"/>
                <w:szCs w:val="21"/>
              </w:rPr>
              <w:t>7</w:t>
            </w:r>
          </w:p>
        </w:tc>
        <w:tc>
          <w:tcPr>
            <w:tcW w:w="2127" w:type="dxa"/>
            <w:vAlign w:val="center"/>
          </w:tcPr>
          <w:p w14:paraId="5473D24A">
            <w:pPr>
              <w:spacing w:line="240" w:lineRule="auto"/>
              <w:ind w:firstLine="0" w:firstLineChars="0"/>
              <w:jc w:val="center"/>
              <w:rPr>
                <w:rFonts w:ascii="宋体" w:hAnsi="宋体"/>
                <w:szCs w:val="21"/>
              </w:rPr>
            </w:pPr>
            <w:r>
              <w:rPr>
                <w:rFonts w:hint="eastAsia" w:ascii="宋体" w:hAnsi="宋体"/>
                <w:szCs w:val="21"/>
              </w:rPr>
              <w:t>项目成本复盘报告</w:t>
            </w:r>
          </w:p>
        </w:tc>
        <w:tc>
          <w:tcPr>
            <w:tcW w:w="2770" w:type="dxa"/>
            <w:vAlign w:val="center"/>
          </w:tcPr>
          <w:p w14:paraId="7A57540B">
            <w:pPr>
              <w:spacing w:line="240" w:lineRule="auto"/>
              <w:ind w:firstLine="0" w:firstLineChars="0"/>
              <w:jc w:val="center"/>
              <w:rPr>
                <w:rFonts w:ascii="宋体" w:hAnsi="宋体"/>
                <w:szCs w:val="21"/>
              </w:rPr>
            </w:pPr>
            <w:r>
              <w:rPr>
                <w:rFonts w:hint="eastAsia" w:ascii="宋体" w:hAnsi="宋体"/>
                <w:szCs w:val="21"/>
              </w:rPr>
              <w:t>纸质版1份，电子版1份（excel或word）</w:t>
            </w:r>
          </w:p>
        </w:tc>
        <w:tc>
          <w:tcPr>
            <w:tcW w:w="1858" w:type="dxa"/>
            <w:vMerge w:val="continue"/>
            <w:vAlign w:val="center"/>
          </w:tcPr>
          <w:p w14:paraId="0340312C">
            <w:pPr>
              <w:spacing w:line="240" w:lineRule="auto"/>
              <w:ind w:left="840" w:firstLine="420"/>
              <w:jc w:val="center"/>
              <w:rPr>
                <w:rFonts w:ascii="宋体" w:hAnsi="宋体"/>
                <w:szCs w:val="21"/>
              </w:rPr>
            </w:pPr>
          </w:p>
        </w:tc>
        <w:tc>
          <w:tcPr>
            <w:tcW w:w="1858" w:type="dxa"/>
            <w:vAlign w:val="center"/>
          </w:tcPr>
          <w:p w14:paraId="50AB0C2C">
            <w:pPr>
              <w:spacing w:line="240" w:lineRule="auto"/>
              <w:ind w:left="840" w:firstLine="420"/>
              <w:jc w:val="center"/>
              <w:rPr>
                <w:rFonts w:ascii="宋体" w:hAnsi="宋体"/>
                <w:szCs w:val="21"/>
              </w:rPr>
            </w:pPr>
          </w:p>
        </w:tc>
      </w:tr>
    </w:tbl>
    <w:p w14:paraId="66282074">
      <w:pPr>
        <w:ind w:firstLine="420"/>
        <w:jc w:val="left"/>
      </w:pPr>
      <w:r>
        <w:rPr>
          <w:rFonts w:hint="eastAsia" w:ascii="宋体" w:hAnsi="宋体"/>
          <w:szCs w:val="21"/>
        </w:rPr>
        <w:t>说明：以上电子版全部提交在一张光盘上。</w:t>
      </w:r>
      <w:bookmarkEnd w:id="6"/>
      <w:bookmarkEnd w:id="7"/>
      <w:bookmarkEnd w:id="8"/>
      <w:bookmarkEnd w:id="9"/>
    </w:p>
    <w:p w14:paraId="2C71FCF3">
      <w:pPr>
        <w:pStyle w:val="14"/>
        <w:spacing w:before="156" w:line="360" w:lineRule="auto"/>
        <w:ind w:left="420" w:leftChars="200" w:firstLine="0" w:firstLineChars="0"/>
        <w:rPr>
          <w:rFonts w:ascii="宋体" w:hAnsi="宋体" w:eastAsia="宋体"/>
          <w:b/>
          <w:bCs/>
          <w:sz w:val="21"/>
          <w:szCs w:val="21"/>
        </w:rPr>
      </w:pPr>
      <w:r>
        <w:rPr>
          <w:rFonts w:hint="eastAsia" w:ascii="宋体" w:hAnsi="宋体" w:eastAsia="宋体"/>
          <w:b/>
          <w:bCs/>
          <w:sz w:val="21"/>
          <w:szCs w:val="21"/>
        </w:rPr>
        <w:t>十、提交咨询成果的时限及准确性要求</w:t>
      </w:r>
    </w:p>
    <w:tbl>
      <w:tblPr>
        <w:tblStyle w:val="9"/>
        <w:tblW w:w="8359" w:type="dxa"/>
        <w:tblInd w:w="113" w:type="dxa"/>
        <w:tblLayout w:type="fixed"/>
        <w:tblCellMar>
          <w:top w:w="0" w:type="dxa"/>
          <w:left w:w="108" w:type="dxa"/>
          <w:bottom w:w="0" w:type="dxa"/>
          <w:right w:w="108" w:type="dxa"/>
        </w:tblCellMar>
      </w:tblPr>
      <w:tblGrid>
        <w:gridCol w:w="1129"/>
        <w:gridCol w:w="1560"/>
        <w:gridCol w:w="1701"/>
        <w:gridCol w:w="1275"/>
        <w:gridCol w:w="2694"/>
      </w:tblGrid>
      <w:tr w14:paraId="5EBEB7B8">
        <w:tblPrEx>
          <w:tblCellMar>
            <w:top w:w="0" w:type="dxa"/>
            <w:left w:w="108" w:type="dxa"/>
            <w:bottom w:w="0" w:type="dxa"/>
            <w:right w:w="108" w:type="dxa"/>
          </w:tblCellMar>
        </w:tblPrEx>
        <w:trPr>
          <w:trHeight w:val="348" w:hRule="atLeast"/>
        </w:trPr>
        <w:tc>
          <w:tcPr>
            <w:tcW w:w="1129" w:type="dxa"/>
            <w:tcBorders>
              <w:top w:val="single" w:color="auto" w:sz="4" w:space="0"/>
              <w:left w:val="single" w:color="auto" w:sz="4" w:space="0"/>
              <w:bottom w:val="single" w:color="auto" w:sz="4" w:space="0"/>
              <w:right w:val="single" w:color="auto" w:sz="4" w:space="0"/>
            </w:tcBorders>
            <w:noWrap/>
            <w:vAlign w:val="center"/>
          </w:tcPr>
          <w:p w14:paraId="2C01C4F4">
            <w:pPr>
              <w:adjustRightInd w:val="0"/>
              <w:snapToGrid w:val="0"/>
              <w:spacing w:line="240" w:lineRule="auto"/>
              <w:ind w:firstLine="0" w:firstLineChars="0"/>
              <w:outlineLvl w:val="2"/>
              <w:rPr>
                <w:rFonts w:ascii="宋体" w:hAnsi="宋体" w:cs="宋体"/>
                <w:szCs w:val="21"/>
              </w:rPr>
            </w:pPr>
            <w:r>
              <w:rPr>
                <w:rFonts w:hint="eastAsia" w:ascii="宋体" w:hAnsi="宋体" w:cs="宋体"/>
                <w:szCs w:val="21"/>
              </w:rPr>
              <w:t>阶段名称</w:t>
            </w:r>
          </w:p>
        </w:tc>
        <w:tc>
          <w:tcPr>
            <w:tcW w:w="1560" w:type="dxa"/>
            <w:tcBorders>
              <w:top w:val="single" w:color="auto" w:sz="4" w:space="0"/>
              <w:left w:val="single" w:color="auto" w:sz="4" w:space="0"/>
              <w:bottom w:val="single" w:color="auto" w:sz="4" w:space="0"/>
              <w:right w:val="single" w:color="auto" w:sz="4" w:space="0"/>
            </w:tcBorders>
            <w:noWrap/>
            <w:vAlign w:val="center"/>
          </w:tcPr>
          <w:p w14:paraId="5AED93D7">
            <w:pPr>
              <w:adjustRightInd w:val="0"/>
              <w:snapToGrid w:val="0"/>
              <w:spacing w:line="240" w:lineRule="auto"/>
              <w:ind w:firstLine="199" w:firstLineChars="95"/>
              <w:outlineLvl w:val="2"/>
              <w:rPr>
                <w:rFonts w:ascii="宋体" w:hAnsi="宋体" w:cs="宋体"/>
                <w:szCs w:val="21"/>
              </w:rPr>
            </w:pPr>
            <w:r>
              <w:rPr>
                <w:rFonts w:hint="eastAsia" w:ascii="宋体" w:hAnsi="宋体" w:cs="宋体"/>
                <w:szCs w:val="21"/>
              </w:rPr>
              <w:t>工作内容</w:t>
            </w:r>
          </w:p>
        </w:tc>
        <w:tc>
          <w:tcPr>
            <w:tcW w:w="1701" w:type="dxa"/>
            <w:tcBorders>
              <w:top w:val="single" w:color="auto" w:sz="4" w:space="0"/>
              <w:left w:val="single" w:color="auto" w:sz="4" w:space="0"/>
              <w:bottom w:val="single" w:color="auto" w:sz="4" w:space="0"/>
              <w:right w:val="single" w:color="auto" w:sz="4" w:space="0"/>
            </w:tcBorders>
            <w:noWrap/>
            <w:vAlign w:val="center"/>
          </w:tcPr>
          <w:p w14:paraId="674D78B8">
            <w:pPr>
              <w:adjustRightInd w:val="0"/>
              <w:snapToGrid w:val="0"/>
              <w:spacing w:line="240" w:lineRule="auto"/>
              <w:ind w:firstLine="199" w:firstLineChars="95"/>
              <w:outlineLvl w:val="2"/>
              <w:rPr>
                <w:rFonts w:ascii="宋体" w:hAnsi="宋体" w:cs="宋体"/>
                <w:szCs w:val="21"/>
              </w:rPr>
            </w:pPr>
            <w:r>
              <w:rPr>
                <w:rFonts w:hint="eastAsia" w:ascii="宋体" w:hAnsi="宋体" w:cs="宋体"/>
                <w:szCs w:val="21"/>
              </w:rPr>
              <w:t>工程造价</w:t>
            </w:r>
          </w:p>
        </w:tc>
        <w:tc>
          <w:tcPr>
            <w:tcW w:w="1275" w:type="dxa"/>
            <w:tcBorders>
              <w:top w:val="single" w:color="auto" w:sz="4" w:space="0"/>
              <w:left w:val="single" w:color="auto" w:sz="4" w:space="0"/>
              <w:bottom w:val="single" w:color="auto" w:sz="4" w:space="0"/>
              <w:right w:val="single" w:color="auto" w:sz="4" w:space="0"/>
            </w:tcBorders>
            <w:noWrap/>
            <w:vAlign w:val="center"/>
          </w:tcPr>
          <w:p w14:paraId="221D0DFA">
            <w:pPr>
              <w:adjustRightInd w:val="0"/>
              <w:snapToGrid w:val="0"/>
              <w:spacing w:line="240" w:lineRule="auto"/>
              <w:ind w:firstLine="0" w:firstLineChars="0"/>
              <w:outlineLvl w:val="2"/>
              <w:rPr>
                <w:rFonts w:ascii="宋体" w:hAnsi="宋体" w:cs="宋体"/>
                <w:szCs w:val="21"/>
              </w:rPr>
            </w:pPr>
            <w:r>
              <w:rPr>
                <w:rFonts w:hint="eastAsia" w:ascii="宋体" w:hAnsi="宋体" w:cs="宋体"/>
                <w:szCs w:val="21"/>
              </w:rPr>
              <w:t>准确性要求</w:t>
            </w:r>
          </w:p>
        </w:tc>
        <w:tc>
          <w:tcPr>
            <w:tcW w:w="2694" w:type="dxa"/>
            <w:tcBorders>
              <w:top w:val="single" w:color="auto" w:sz="4" w:space="0"/>
              <w:left w:val="single" w:color="auto" w:sz="4" w:space="0"/>
              <w:bottom w:val="single" w:color="auto" w:sz="4" w:space="0"/>
              <w:right w:val="single" w:color="auto" w:sz="4" w:space="0"/>
            </w:tcBorders>
            <w:noWrap/>
            <w:vAlign w:val="center"/>
          </w:tcPr>
          <w:p w14:paraId="4FADEF36">
            <w:pPr>
              <w:adjustRightInd w:val="0"/>
              <w:snapToGrid w:val="0"/>
              <w:spacing w:line="240" w:lineRule="auto"/>
              <w:ind w:firstLine="420"/>
              <w:outlineLvl w:val="2"/>
              <w:rPr>
                <w:rFonts w:ascii="宋体" w:hAnsi="宋体" w:cs="宋体"/>
                <w:szCs w:val="21"/>
              </w:rPr>
            </w:pPr>
            <w:r>
              <w:rPr>
                <w:rFonts w:hint="eastAsia" w:ascii="宋体" w:hAnsi="宋体" w:cs="宋体"/>
                <w:szCs w:val="21"/>
              </w:rPr>
              <w:t>完成时间</w:t>
            </w:r>
          </w:p>
        </w:tc>
      </w:tr>
      <w:tr w14:paraId="7D178D48">
        <w:tblPrEx>
          <w:tblCellMar>
            <w:top w:w="0" w:type="dxa"/>
            <w:left w:w="108" w:type="dxa"/>
            <w:bottom w:w="0" w:type="dxa"/>
            <w:right w:w="108" w:type="dxa"/>
          </w:tblCellMar>
        </w:tblPrEx>
        <w:trPr>
          <w:trHeight w:val="753" w:hRule="atLeast"/>
        </w:trPr>
        <w:tc>
          <w:tcPr>
            <w:tcW w:w="1129" w:type="dxa"/>
            <w:vMerge w:val="restart"/>
            <w:tcBorders>
              <w:top w:val="single" w:color="auto" w:sz="4" w:space="0"/>
              <w:left w:val="single" w:color="auto" w:sz="4" w:space="0"/>
              <w:bottom w:val="single" w:color="auto" w:sz="4" w:space="0"/>
              <w:right w:val="single" w:color="auto" w:sz="4" w:space="0"/>
            </w:tcBorders>
            <w:noWrap/>
            <w:vAlign w:val="center"/>
          </w:tcPr>
          <w:p w14:paraId="559AE429">
            <w:pPr>
              <w:adjustRightInd w:val="0"/>
              <w:snapToGrid w:val="0"/>
              <w:spacing w:line="240" w:lineRule="auto"/>
              <w:ind w:firstLine="0" w:firstLineChars="0"/>
              <w:outlineLvl w:val="2"/>
              <w:rPr>
                <w:rFonts w:ascii="宋体" w:hAnsi="宋体" w:cs="宋体"/>
                <w:szCs w:val="21"/>
              </w:rPr>
            </w:pPr>
            <w:r>
              <w:rPr>
                <w:rFonts w:hint="eastAsia" w:ascii="宋体" w:hAnsi="宋体" w:cs="宋体"/>
                <w:szCs w:val="21"/>
              </w:rPr>
              <w:t>预结算复审</w:t>
            </w:r>
          </w:p>
        </w:tc>
        <w:tc>
          <w:tcPr>
            <w:tcW w:w="1560" w:type="dxa"/>
            <w:vMerge w:val="restart"/>
            <w:tcBorders>
              <w:top w:val="single" w:color="auto" w:sz="4" w:space="0"/>
              <w:left w:val="single" w:color="auto" w:sz="4" w:space="0"/>
              <w:bottom w:val="single" w:color="auto" w:sz="4" w:space="0"/>
              <w:right w:val="single" w:color="auto" w:sz="4" w:space="0"/>
            </w:tcBorders>
            <w:noWrap/>
            <w:vAlign w:val="center"/>
          </w:tcPr>
          <w:p w14:paraId="322FDC53">
            <w:pPr>
              <w:adjustRightInd w:val="0"/>
              <w:snapToGrid w:val="0"/>
              <w:spacing w:line="240" w:lineRule="auto"/>
              <w:ind w:firstLine="0" w:firstLineChars="0"/>
              <w:outlineLvl w:val="2"/>
              <w:rPr>
                <w:rFonts w:ascii="宋体" w:hAnsi="宋体" w:cs="宋体"/>
                <w:szCs w:val="21"/>
              </w:rPr>
            </w:pPr>
            <w:r>
              <w:rPr>
                <w:rFonts w:hint="eastAsia" w:ascii="宋体" w:hAnsi="宋体" w:cs="宋体"/>
                <w:szCs w:val="21"/>
              </w:rPr>
              <w:t>依据预结算送审资料进行造价复审，按第九条要求出具工程预结算审核报告</w:t>
            </w:r>
          </w:p>
        </w:tc>
        <w:tc>
          <w:tcPr>
            <w:tcW w:w="1701" w:type="dxa"/>
            <w:tcBorders>
              <w:top w:val="single" w:color="auto" w:sz="4" w:space="0"/>
              <w:left w:val="single" w:color="auto" w:sz="4" w:space="0"/>
              <w:bottom w:val="single" w:color="auto" w:sz="4" w:space="0"/>
              <w:right w:val="single" w:color="auto" w:sz="4" w:space="0"/>
            </w:tcBorders>
            <w:noWrap/>
            <w:vAlign w:val="center"/>
          </w:tcPr>
          <w:p w14:paraId="7124376A">
            <w:pPr>
              <w:adjustRightInd w:val="0"/>
              <w:snapToGrid w:val="0"/>
              <w:spacing w:line="240" w:lineRule="auto"/>
              <w:ind w:firstLine="0" w:firstLineChars="0"/>
              <w:outlineLvl w:val="2"/>
              <w:rPr>
                <w:rFonts w:ascii="宋体" w:hAnsi="宋体" w:cs="宋体"/>
                <w:szCs w:val="21"/>
              </w:rPr>
            </w:pPr>
            <w:r>
              <w:rPr>
                <w:rFonts w:hint="eastAsia" w:ascii="宋体" w:hAnsi="宋体" w:cs="宋体"/>
                <w:szCs w:val="21"/>
              </w:rPr>
              <w:t>20</w:t>
            </w:r>
            <w:r>
              <w:rPr>
                <w:rFonts w:ascii="宋体" w:hAnsi="宋体" w:cs="宋体"/>
                <w:szCs w:val="21"/>
              </w:rPr>
              <w:t>000</w:t>
            </w:r>
            <w:r>
              <w:rPr>
                <w:rFonts w:hint="eastAsia" w:ascii="宋体" w:hAnsi="宋体" w:cs="宋体"/>
                <w:szCs w:val="21"/>
              </w:rPr>
              <w:t>万元以上（含本数）</w:t>
            </w:r>
          </w:p>
        </w:tc>
        <w:tc>
          <w:tcPr>
            <w:tcW w:w="1275" w:type="dxa"/>
            <w:vMerge w:val="restart"/>
            <w:tcBorders>
              <w:top w:val="single" w:color="auto" w:sz="4" w:space="0"/>
              <w:left w:val="single" w:color="auto" w:sz="4" w:space="0"/>
              <w:bottom w:val="single" w:color="auto" w:sz="4" w:space="0"/>
              <w:right w:val="single" w:color="auto" w:sz="4" w:space="0"/>
            </w:tcBorders>
            <w:noWrap/>
            <w:vAlign w:val="center"/>
          </w:tcPr>
          <w:p w14:paraId="156EC07E">
            <w:pPr>
              <w:adjustRightInd w:val="0"/>
              <w:snapToGrid w:val="0"/>
              <w:spacing w:line="240" w:lineRule="auto"/>
              <w:ind w:firstLine="0" w:firstLineChars="0"/>
              <w:jc w:val="center"/>
              <w:outlineLvl w:val="2"/>
              <w:rPr>
                <w:rFonts w:ascii="宋体" w:hAnsi="宋体" w:cs="宋体"/>
                <w:szCs w:val="21"/>
              </w:rPr>
            </w:pPr>
            <w:r>
              <w:rPr>
                <w:rFonts w:hint="eastAsia" w:ascii="宋体" w:hAnsi="宋体" w:cs="宋体"/>
                <w:szCs w:val="21"/>
              </w:rPr>
              <w:t>误差率在±</w:t>
            </w:r>
            <w:r>
              <w:rPr>
                <w:rFonts w:ascii="宋体" w:hAnsi="宋体" w:cs="宋体"/>
                <w:szCs w:val="21"/>
              </w:rPr>
              <w:t>3%内</w:t>
            </w:r>
          </w:p>
        </w:tc>
        <w:tc>
          <w:tcPr>
            <w:tcW w:w="2694" w:type="dxa"/>
            <w:tcBorders>
              <w:top w:val="single" w:color="auto" w:sz="4" w:space="0"/>
              <w:left w:val="single" w:color="auto" w:sz="4" w:space="0"/>
              <w:bottom w:val="single" w:color="auto" w:sz="4" w:space="0"/>
              <w:right w:val="single" w:color="auto" w:sz="4" w:space="0"/>
            </w:tcBorders>
            <w:noWrap/>
            <w:vAlign w:val="center"/>
          </w:tcPr>
          <w:p w14:paraId="54DB534D">
            <w:pPr>
              <w:adjustRightInd w:val="0"/>
              <w:snapToGrid w:val="0"/>
              <w:spacing w:line="240" w:lineRule="auto"/>
              <w:ind w:firstLine="0" w:firstLineChars="0"/>
              <w:jc w:val="center"/>
              <w:outlineLvl w:val="2"/>
              <w:rPr>
                <w:rFonts w:ascii="宋体" w:hAnsi="宋体" w:cs="宋体"/>
                <w:szCs w:val="21"/>
              </w:rPr>
            </w:pPr>
            <w:r>
              <w:rPr>
                <w:rFonts w:hint="eastAsia" w:ascii="宋体" w:hAnsi="宋体" w:cs="宋体"/>
                <w:szCs w:val="21"/>
              </w:rPr>
              <w:t>45日历天</w:t>
            </w:r>
          </w:p>
        </w:tc>
      </w:tr>
      <w:tr w14:paraId="46463306">
        <w:tblPrEx>
          <w:tblCellMar>
            <w:top w:w="0" w:type="dxa"/>
            <w:left w:w="108" w:type="dxa"/>
            <w:bottom w:w="0" w:type="dxa"/>
            <w:right w:w="108" w:type="dxa"/>
          </w:tblCellMar>
        </w:tblPrEx>
        <w:trPr>
          <w:trHeight w:val="753" w:hRule="atLeast"/>
        </w:trPr>
        <w:tc>
          <w:tcPr>
            <w:tcW w:w="1129" w:type="dxa"/>
            <w:vMerge w:val="continue"/>
            <w:tcBorders>
              <w:top w:val="single" w:color="auto" w:sz="4" w:space="0"/>
              <w:left w:val="single" w:color="auto" w:sz="4" w:space="0"/>
              <w:bottom w:val="single" w:color="auto" w:sz="4" w:space="0"/>
              <w:right w:val="single" w:color="auto" w:sz="4" w:space="0"/>
            </w:tcBorders>
            <w:noWrap/>
            <w:vAlign w:val="center"/>
          </w:tcPr>
          <w:p w14:paraId="0B93FAF8">
            <w:pPr>
              <w:adjustRightInd w:val="0"/>
              <w:snapToGrid w:val="0"/>
              <w:spacing w:line="240" w:lineRule="auto"/>
              <w:ind w:firstLine="420"/>
              <w:jc w:val="center"/>
              <w:outlineLvl w:val="2"/>
              <w:rPr>
                <w:rFonts w:ascii="宋体" w:hAnsi="宋体" w:cs="宋体"/>
                <w:szCs w:val="21"/>
              </w:rPr>
            </w:pPr>
          </w:p>
        </w:tc>
        <w:tc>
          <w:tcPr>
            <w:tcW w:w="1560" w:type="dxa"/>
            <w:vMerge w:val="continue"/>
            <w:tcBorders>
              <w:top w:val="single" w:color="auto" w:sz="4" w:space="0"/>
              <w:left w:val="single" w:color="auto" w:sz="4" w:space="0"/>
              <w:bottom w:val="single" w:color="auto" w:sz="4" w:space="0"/>
              <w:right w:val="single" w:color="auto" w:sz="4" w:space="0"/>
            </w:tcBorders>
            <w:noWrap/>
            <w:vAlign w:val="center"/>
          </w:tcPr>
          <w:p w14:paraId="470FC0A7">
            <w:pPr>
              <w:adjustRightInd w:val="0"/>
              <w:snapToGrid w:val="0"/>
              <w:spacing w:line="240" w:lineRule="auto"/>
              <w:ind w:firstLine="420"/>
              <w:jc w:val="center"/>
              <w:outlineLvl w:val="2"/>
              <w:rPr>
                <w:rFonts w:ascii="宋体" w:hAnsi="宋体" w:cs="宋体"/>
                <w:szCs w:val="21"/>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425EA83A">
            <w:pPr>
              <w:adjustRightInd w:val="0"/>
              <w:snapToGrid w:val="0"/>
              <w:spacing w:line="240" w:lineRule="auto"/>
              <w:ind w:firstLine="0" w:firstLineChars="0"/>
              <w:outlineLvl w:val="2"/>
              <w:rPr>
                <w:rFonts w:ascii="宋体" w:hAnsi="宋体" w:cs="宋体"/>
                <w:szCs w:val="21"/>
              </w:rPr>
            </w:pPr>
            <w:r>
              <w:rPr>
                <w:rFonts w:hint="eastAsia" w:ascii="宋体" w:hAnsi="宋体" w:cs="宋体"/>
                <w:szCs w:val="21"/>
              </w:rPr>
              <w:t>20</w:t>
            </w:r>
            <w:r>
              <w:rPr>
                <w:rFonts w:ascii="宋体" w:hAnsi="宋体" w:cs="宋体"/>
                <w:szCs w:val="21"/>
              </w:rPr>
              <w:t>00~</w:t>
            </w:r>
            <w:r>
              <w:rPr>
                <w:rFonts w:hint="eastAsia" w:ascii="宋体" w:hAnsi="宋体" w:cs="宋体"/>
                <w:szCs w:val="21"/>
              </w:rPr>
              <w:t>20000万元以下（含本数）</w:t>
            </w:r>
          </w:p>
        </w:tc>
        <w:tc>
          <w:tcPr>
            <w:tcW w:w="1275" w:type="dxa"/>
            <w:vMerge w:val="continue"/>
            <w:tcBorders>
              <w:top w:val="single" w:color="auto" w:sz="4" w:space="0"/>
              <w:left w:val="single" w:color="auto" w:sz="4" w:space="0"/>
              <w:bottom w:val="single" w:color="auto" w:sz="4" w:space="0"/>
              <w:right w:val="single" w:color="auto" w:sz="4" w:space="0"/>
            </w:tcBorders>
            <w:noWrap/>
            <w:vAlign w:val="center"/>
          </w:tcPr>
          <w:p w14:paraId="44687F94">
            <w:pPr>
              <w:adjustRightInd w:val="0"/>
              <w:snapToGrid w:val="0"/>
              <w:spacing w:line="240" w:lineRule="auto"/>
              <w:ind w:firstLine="420"/>
              <w:jc w:val="center"/>
              <w:outlineLvl w:val="2"/>
              <w:rPr>
                <w:rFonts w:ascii="宋体" w:hAnsi="宋体" w:cs="宋体"/>
                <w:szCs w:val="21"/>
              </w:rPr>
            </w:pPr>
          </w:p>
        </w:tc>
        <w:tc>
          <w:tcPr>
            <w:tcW w:w="2694" w:type="dxa"/>
            <w:tcBorders>
              <w:top w:val="single" w:color="auto" w:sz="4" w:space="0"/>
              <w:left w:val="single" w:color="auto" w:sz="4" w:space="0"/>
              <w:bottom w:val="single" w:color="auto" w:sz="4" w:space="0"/>
              <w:right w:val="single" w:color="auto" w:sz="4" w:space="0"/>
            </w:tcBorders>
            <w:noWrap/>
            <w:vAlign w:val="center"/>
          </w:tcPr>
          <w:p w14:paraId="77F327AE">
            <w:pPr>
              <w:adjustRightInd w:val="0"/>
              <w:snapToGrid w:val="0"/>
              <w:spacing w:line="240" w:lineRule="auto"/>
              <w:ind w:firstLine="0" w:firstLineChars="0"/>
              <w:jc w:val="center"/>
              <w:outlineLvl w:val="2"/>
              <w:rPr>
                <w:rFonts w:ascii="宋体" w:hAnsi="宋体" w:cs="宋体"/>
                <w:szCs w:val="21"/>
              </w:rPr>
            </w:pPr>
            <w:r>
              <w:rPr>
                <w:rFonts w:hint="eastAsia" w:ascii="宋体" w:hAnsi="宋体" w:cs="宋体"/>
                <w:szCs w:val="21"/>
              </w:rPr>
              <w:t>25日历天</w:t>
            </w:r>
          </w:p>
        </w:tc>
      </w:tr>
      <w:tr w14:paraId="348B6C07">
        <w:tblPrEx>
          <w:tblCellMar>
            <w:top w:w="0" w:type="dxa"/>
            <w:left w:w="108" w:type="dxa"/>
            <w:bottom w:w="0" w:type="dxa"/>
            <w:right w:w="108" w:type="dxa"/>
          </w:tblCellMar>
        </w:tblPrEx>
        <w:trPr>
          <w:trHeight w:val="753" w:hRule="atLeast"/>
        </w:trPr>
        <w:tc>
          <w:tcPr>
            <w:tcW w:w="1129" w:type="dxa"/>
            <w:vMerge w:val="continue"/>
            <w:tcBorders>
              <w:top w:val="single" w:color="auto" w:sz="4" w:space="0"/>
              <w:left w:val="single" w:color="auto" w:sz="4" w:space="0"/>
              <w:bottom w:val="single" w:color="auto" w:sz="4" w:space="0"/>
              <w:right w:val="single" w:color="auto" w:sz="4" w:space="0"/>
            </w:tcBorders>
            <w:noWrap/>
            <w:vAlign w:val="center"/>
          </w:tcPr>
          <w:p w14:paraId="0E204DEA">
            <w:pPr>
              <w:adjustRightInd w:val="0"/>
              <w:snapToGrid w:val="0"/>
              <w:spacing w:line="240" w:lineRule="auto"/>
              <w:ind w:firstLine="420"/>
              <w:jc w:val="center"/>
              <w:outlineLvl w:val="2"/>
              <w:rPr>
                <w:rFonts w:ascii="宋体" w:hAnsi="宋体" w:cs="宋体"/>
                <w:szCs w:val="21"/>
              </w:rPr>
            </w:pPr>
          </w:p>
        </w:tc>
        <w:tc>
          <w:tcPr>
            <w:tcW w:w="1560" w:type="dxa"/>
            <w:vMerge w:val="continue"/>
            <w:tcBorders>
              <w:top w:val="single" w:color="auto" w:sz="4" w:space="0"/>
              <w:left w:val="single" w:color="auto" w:sz="4" w:space="0"/>
              <w:bottom w:val="single" w:color="auto" w:sz="4" w:space="0"/>
              <w:right w:val="single" w:color="auto" w:sz="4" w:space="0"/>
            </w:tcBorders>
            <w:noWrap/>
            <w:vAlign w:val="center"/>
          </w:tcPr>
          <w:p w14:paraId="0859D098">
            <w:pPr>
              <w:adjustRightInd w:val="0"/>
              <w:snapToGrid w:val="0"/>
              <w:spacing w:line="240" w:lineRule="auto"/>
              <w:ind w:firstLine="420"/>
              <w:jc w:val="center"/>
              <w:outlineLvl w:val="2"/>
              <w:rPr>
                <w:rFonts w:ascii="宋体" w:hAnsi="宋体" w:cs="宋体"/>
                <w:szCs w:val="21"/>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78A40EBD">
            <w:pPr>
              <w:adjustRightInd w:val="0"/>
              <w:snapToGrid w:val="0"/>
              <w:spacing w:line="240" w:lineRule="auto"/>
              <w:ind w:firstLine="0" w:firstLineChars="0"/>
              <w:outlineLvl w:val="2"/>
              <w:rPr>
                <w:rFonts w:ascii="宋体" w:hAnsi="宋体" w:cs="宋体"/>
                <w:szCs w:val="21"/>
              </w:rPr>
            </w:pPr>
            <w:r>
              <w:rPr>
                <w:rFonts w:hint="eastAsia" w:ascii="宋体" w:hAnsi="宋体" w:cs="宋体"/>
                <w:szCs w:val="21"/>
              </w:rPr>
              <w:t>20</w:t>
            </w:r>
            <w:r>
              <w:rPr>
                <w:rFonts w:ascii="宋体" w:hAnsi="宋体" w:cs="宋体"/>
                <w:szCs w:val="21"/>
              </w:rPr>
              <w:t>00</w:t>
            </w:r>
            <w:r>
              <w:rPr>
                <w:rFonts w:hint="eastAsia" w:ascii="宋体" w:hAnsi="宋体" w:cs="宋体"/>
                <w:szCs w:val="21"/>
              </w:rPr>
              <w:t>万元以下（不含本数）</w:t>
            </w:r>
          </w:p>
        </w:tc>
        <w:tc>
          <w:tcPr>
            <w:tcW w:w="1275" w:type="dxa"/>
            <w:vMerge w:val="continue"/>
            <w:tcBorders>
              <w:top w:val="single" w:color="auto" w:sz="4" w:space="0"/>
              <w:left w:val="single" w:color="auto" w:sz="4" w:space="0"/>
              <w:bottom w:val="single" w:color="auto" w:sz="4" w:space="0"/>
              <w:right w:val="single" w:color="auto" w:sz="4" w:space="0"/>
            </w:tcBorders>
            <w:noWrap/>
            <w:vAlign w:val="center"/>
          </w:tcPr>
          <w:p w14:paraId="48D6595A">
            <w:pPr>
              <w:adjustRightInd w:val="0"/>
              <w:snapToGrid w:val="0"/>
              <w:spacing w:line="240" w:lineRule="auto"/>
              <w:ind w:firstLine="420"/>
              <w:jc w:val="center"/>
              <w:outlineLvl w:val="2"/>
              <w:rPr>
                <w:rFonts w:ascii="宋体" w:hAnsi="宋体" w:cs="宋体"/>
                <w:szCs w:val="21"/>
              </w:rPr>
            </w:pPr>
          </w:p>
        </w:tc>
        <w:tc>
          <w:tcPr>
            <w:tcW w:w="2694" w:type="dxa"/>
            <w:tcBorders>
              <w:top w:val="single" w:color="auto" w:sz="4" w:space="0"/>
              <w:left w:val="single" w:color="auto" w:sz="4" w:space="0"/>
              <w:bottom w:val="single" w:color="auto" w:sz="4" w:space="0"/>
              <w:right w:val="single" w:color="auto" w:sz="4" w:space="0"/>
            </w:tcBorders>
            <w:noWrap/>
            <w:vAlign w:val="center"/>
          </w:tcPr>
          <w:p w14:paraId="622EB2BA">
            <w:pPr>
              <w:adjustRightInd w:val="0"/>
              <w:snapToGrid w:val="0"/>
              <w:spacing w:line="240" w:lineRule="auto"/>
              <w:ind w:firstLine="0" w:firstLineChars="0"/>
              <w:jc w:val="center"/>
              <w:outlineLvl w:val="2"/>
              <w:rPr>
                <w:rFonts w:ascii="宋体" w:hAnsi="宋体" w:cs="宋体"/>
                <w:szCs w:val="21"/>
              </w:rPr>
            </w:pPr>
            <w:r>
              <w:rPr>
                <w:rFonts w:hint="eastAsia" w:ascii="宋体" w:hAnsi="宋体" w:cs="宋体"/>
                <w:szCs w:val="21"/>
              </w:rPr>
              <w:t>15日历天</w:t>
            </w:r>
          </w:p>
        </w:tc>
      </w:tr>
      <w:tr w14:paraId="19633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gridSpan w:val="5"/>
          </w:tcPr>
          <w:p w14:paraId="63BC15F1">
            <w:pPr>
              <w:widowControl w:val="0"/>
              <w:adjustRightInd w:val="0"/>
              <w:snapToGrid w:val="0"/>
              <w:spacing w:line="240" w:lineRule="auto"/>
              <w:ind w:firstLine="420"/>
              <w:jc w:val="left"/>
              <w:rPr>
                <w:rFonts w:ascii="宋体" w:hAnsi="宋体"/>
                <w:szCs w:val="21"/>
              </w:rPr>
            </w:pPr>
            <w:r>
              <w:rPr>
                <w:rFonts w:hint="eastAsia" w:ascii="宋体" w:hAnsi="宋体"/>
                <w:szCs w:val="21"/>
              </w:rPr>
              <w:t>备注：</w:t>
            </w:r>
          </w:p>
          <w:p w14:paraId="41A2B0BE">
            <w:pPr>
              <w:widowControl w:val="0"/>
              <w:adjustRightInd w:val="0"/>
              <w:snapToGrid w:val="0"/>
              <w:spacing w:line="240" w:lineRule="auto"/>
              <w:ind w:firstLine="420"/>
              <w:jc w:val="left"/>
              <w:rPr>
                <w:rFonts w:ascii="宋体" w:hAnsi="宋体"/>
                <w:szCs w:val="21"/>
              </w:rPr>
            </w:pPr>
            <w:r>
              <w:rPr>
                <w:rFonts w:hint="eastAsia" w:ascii="宋体" w:hAnsi="宋体"/>
                <w:szCs w:val="21"/>
              </w:rPr>
              <w:t>①以上时间起止时间为甲方提供完整资料予乙方起至乙方提交书面成果文件至甲方处为止。以上时间为参考值，甲乙双方可根据具体项目情况另行调整。若未另行调整，则按以上时间执行。甲方不定期统计时效控制情况，并根据合同条款及实际情况，出具罚款单。</w:t>
            </w:r>
          </w:p>
        </w:tc>
      </w:tr>
    </w:tbl>
    <w:p w14:paraId="0F0075DC">
      <w:pPr>
        <w:tabs>
          <w:tab w:val="left" w:pos="426"/>
        </w:tabs>
        <w:ind w:firstLine="428"/>
        <w:outlineLvl w:val="2"/>
        <w:rPr>
          <w:rFonts w:ascii="宋体" w:hAnsi="宋体"/>
          <w:b/>
          <w:bCs/>
          <w:szCs w:val="21"/>
        </w:rPr>
      </w:pPr>
      <w:r>
        <w:rPr>
          <w:rFonts w:hint="eastAsia" w:ascii="宋体" w:hAnsi="宋体"/>
          <w:b/>
          <w:bCs/>
          <w:szCs w:val="21"/>
        </w:rPr>
        <w:t>十一、组成本合同的文件以及文件优先解释顺序</w:t>
      </w:r>
    </w:p>
    <w:p w14:paraId="1FB62774">
      <w:pPr>
        <w:ind w:firstLine="420"/>
        <w:jc w:val="left"/>
        <w:rPr>
          <w:rFonts w:ascii="宋体" w:hAnsi="宋体"/>
          <w:szCs w:val="21"/>
        </w:rPr>
      </w:pPr>
      <w:r>
        <w:rPr>
          <w:rFonts w:hint="eastAsia" w:ascii="宋体" w:hAnsi="宋体"/>
          <w:szCs w:val="21"/>
        </w:rPr>
        <w:t>1.建设工程造价咨询合同执行中共同签署的补充与修改文件；</w:t>
      </w:r>
    </w:p>
    <w:p w14:paraId="2A145F44">
      <w:pPr>
        <w:ind w:firstLine="420"/>
        <w:jc w:val="left"/>
        <w:rPr>
          <w:rFonts w:ascii="宋体" w:hAnsi="宋体" w:cs="宋体"/>
          <w:szCs w:val="21"/>
        </w:rPr>
      </w:pPr>
      <w:r>
        <w:rPr>
          <w:rFonts w:hint="eastAsia" w:ascii="宋体" w:hAnsi="宋体" w:cs="宋体"/>
          <w:szCs w:val="21"/>
        </w:rPr>
        <w:t xml:space="preserve">2.合同协议书； </w:t>
      </w:r>
    </w:p>
    <w:p w14:paraId="6A976A2C">
      <w:pPr>
        <w:ind w:firstLine="420"/>
        <w:jc w:val="left"/>
        <w:rPr>
          <w:rFonts w:ascii="宋体" w:hAnsi="宋体" w:cs="宋体"/>
          <w:szCs w:val="21"/>
        </w:rPr>
      </w:pPr>
      <w:r>
        <w:rPr>
          <w:rFonts w:hint="eastAsia" w:ascii="宋体" w:hAnsi="宋体" w:cs="宋体"/>
          <w:szCs w:val="21"/>
        </w:rPr>
        <w:t>3.中标通知书；</w:t>
      </w:r>
    </w:p>
    <w:p w14:paraId="653B8076">
      <w:pPr>
        <w:ind w:firstLine="420"/>
        <w:jc w:val="left"/>
        <w:rPr>
          <w:rFonts w:hint="eastAsia" w:ascii="宋体" w:hAnsi="宋体"/>
          <w:szCs w:val="21"/>
        </w:rPr>
      </w:pPr>
      <w:r>
        <w:rPr>
          <w:rFonts w:hint="eastAsia" w:ascii="宋体" w:hAnsi="宋体"/>
          <w:szCs w:val="21"/>
        </w:rPr>
        <w:t>4．补充条款及合同附件；</w:t>
      </w:r>
    </w:p>
    <w:p w14:paraId="4DD11C36">
      <w:pPr>
        <w:ind w:firstLine="420"/>
        <w:jc w:val="left"/>
        <w:rPr>
          <w:rFonts w:ascii="宋体" w:hAnsi="宋体"/>
          <w:szCs w:val="21"/>
        </w:rPr>
      </w:pPr>
      <w:r>
        <w:rPr>
          <w:rFonts w:hint="eastAsia" w:ascii="宋体" w:hAnsi="宋体"/>
          <w:szCs w:val="21"/>
        </w:rPr>
        <w:t>5.合同专用条款；</w:t>
      </w:r>
    </w:p>
    <w:p w14:paraId="6A34119E">
      <w:pPr>
        <w:ind w:firstLine="420"/>
        <w:jc w:val="left"/>
        <w:rPr>
          <w:rFonts w:ascii="宋体" w:hAnsi="宋体"/>
          <w:szCs w:val="21"/>
        </w:rPr>
      </w:pPr>
      <w:r>
        <w:rPr>
          <w:rFonts w:hint="eastAsia" w:ascii="宋体" w:hAnsi="宋体"/>
          <w:szCs w:val="21"/>
        </w:rPr>
        <w:t>6.合同通用条款；</w:t>
      </w:r>
    </w:p>
    <w:p w14:paraId="6A94B79B">
      <w:pPr>
        <w:ind w:firstLine="420"/>
        <w:jc w:val="left"/>
        <w:rPr>
          <w:rFonts w:ascii="宋体" w:hAnsi="宋体" w:cs="宋体"/>
          <w:szCs w:val="21"/>
        </w:rPr>
      </w:pPr>
      <w:r>
        <w:rPr>
          <w:rFonts w:hint="eastAsia" w:ascii="宋体" w:hAnsi="宋体" w:cs="宋体"/>
          <w:szCs w:val="21"/>
        </w:rPr>
        <w:t>7.投标文件；</w:t>
      </w:r>
    </w:p>
    <w:p w14:paraId="6654B403">
      <w:pPr>
        <w:ind w:firstLine="420"/>
        <w:jc w:val="left"/>
        <w:rPr>
          <w:rFonts w:ascii="宋体" w:hAnsi="宋体" w:cs="宋体"/>
          <w:szCs w:val="21"/>
        </w:rPr>
      </w:pPr>
      <w:r>
        <w:rPr>
          <w:rFonts w:hint="eastAsia" w:ascii="宋体" w:hAnsi="宋体" w:cs="宋体"/>
          <w:szCs w:val="21"/>
        </w:rPr>
        <w:t>8.招标文件。</w:t>
      </w:r>
    </w:p>
    <w:p w14:paraId="5A8AB6D9">
      <w:pPr>
        <w:ind w:firstLine="420"/>
        <w:jc w:val="left"/>
        <w:rPr>
          <w:rFonts w:ascii="宋体" w:hAnsi="宋体" w:cs="宋体"/>
          <w:szCs w:val="21"/>
        </w:rPr>
      </w:pPr>
      <w:r>
        <w:rPr>
          <w:rFonts w:hint="eastAsia" w:ascii="宋体" w:hAnsi="宋体"/>
          <w:szCs w:val="21"/>
        </w:rPr>
        <w:t>双方签订的补充协议与其他文件发生矛盾或歧义时，属于同一类内容的文件，应以最新签署的为准。</w:t>
      </w:r>
    </w:p>
    <w:p w14:paraId="169581EB">
      <w:pPr>
        <w:tabs>
          <w:tab w:val="left" w:pos="426"/>
        </w:tabs>
        <w:ind w:firstLine="428"/>
        <w:rPr>
          <w:rFonts w:ascii="宋体" w:hAnsi="宋体"/>
          <w:b/>
          <w:bCs/>
          <w:szCs w:val="21"/>
        </w:rPr>
      </w:pPr>
      <w:r>
        <w:rPr>
          <w:rFonts w:hint="eastAsia" w:ascii="宋体" w:hAnsi="宋体"/>
          <w:b/>
          <w:bCs/>
          <w:szCs w:val="21"/>
        </w:rPr>
        <w:t>十二、乙方向甲方承诺，按照本合同的约定，完成本合约定工作范围内的建设工程造价咨询复审业务。</w:t>
      </w:r>
    </w:p>
    <w:p w14:paraId="00A5DB1C">
      <w:pPr>
        <w:tabs>
          <w:tab w:val="left" w:pos="426"/>
        </w:tabs>
        <w:ind w:firstLine="428"/>
        <w:rPr>
          <w:rFonts w:ascii="宋体" w:hAnsi="宋体"/>
          <w:b/>
          <w:bCs/>
          <w:szCs w:val="21"/>
        </w:rPr>
      </w:pPr>
      <w:r>
        <w:rPr>
          <w:rFonts w:hint="eastAsia" w:ascii="宋体" w:hAnsi="宋体"/>
          <w:b/>
          <w:bCs/>
          <w:szCs w:val="21"/>
        </w:rPr>
        <w:t>十三、甲方向乙方承诺，按照本合同约定的期限、方式、币种、额度向乙方支付酬金。</w:t>
      </w:r>
    </w:p>
    <w:p w14:paraId="75D36044">
      <w:pPr>
        <w:ind w:firstLine="428"/>
        <w:rPr>
          <w:rFonts w:ascii="宋体" w:hAnsi="宋体"/>
          <w:b/>
          <w:bCs/>
          <w:szCs w:val="21"/>
        </w:rPr>
      </w:pPr>
      <w:r>
        <w:rPr>
          <w:rFonts w:hint="eastAsia" w:ascii="宋体" w:hAnsi="宋体"/>
          <w:b/>
          <w:bCs/>
          <w:szCs w:val="21"/>
        </w:rPr>
        <w:t>十四、本合同一式拾份，均具有同等法律效力，甲方执伍份，乙方执伍份。本合同自双方法定代表人或其委托代理人签名并加盖公章后生效。</w:t>
      </w:r>
    </w:p>
    <w:p w14:paraId="4920F927">
      <w:pPr>
        <w:ind w:firstLine="428"/>
        <w:rPr>
          <w:rFonts w:ascii="宋体" w:hAnsi="宋体"/>
          <w:b/>
          <w:bCs/>
          <w:szCs w:val="21"/>
        </w:rPr>
      </w:pPr>
      <w:r>
        <w:rPr>
          <w:rFonts w:hint="eastAsia" w:ascii="宋体" w:hAnsi="宋体"/>
          <w:b/>
          <w:bCs/>
          <w:szCs w:val="21"/>
        </w:rPr>
        <w:t>十五、本合同附件及所有在执行本合同的过程中经甲乙双方法定代表人签署确认的与本合同有关的文件，均构成本合同的有效组成部分，其生效日期为双方法定代表人或其委托代理人签名并加盖公章之日期。</w:t>
      </w:r>
    </w:p>
    <w:p w14:paraId="11033A7E">
      <w:pPr>
        <w:ind w:firstLine="428"/>
        <w:rPr>
          <w:rFonts w:ascii="宋体" w:hAnsi="宋体"/>
          <w:b/>
          <w:bCs/>
          <w:szCs w:val="21"/>
        </w:rPr>
      </w:pPr>
      <w:r>
        <w:rPr>
          <w:rFonts w:hint="eastAsia" w:ascii="宋体" w:hAnsi="宋体"/>
          <w:b/>
          <w:bCs/>
          <w:szCs w:val="21"/>
        </w:rPr>
        <w:t>十六、通知及送达</w:t>
      </w:r>
    </w:p>
    <w:p w14:paraId="43E7A7C6">
      <w:pPr>
        <w:ind w:firstLine="420"/>
        <w:rPr>
          <w:rFonts w:ascii="宋体" w:hAnsi="宋体"/>
          <w:kern w:val="0"/>
          <w:szCs w:val="21"/>
        </w:rPr>
      </w:pPr>
      <w:r>
        <w:rPr>
          <w:rFonts w:hint="eastAsia" w:ascii="宋体" w:hAnsi="宋体"/>
          <w:kern w:val="0"/>
          <w:szCs w:val="21"/>
        </w:rPr>
        <w:t>1.合同双方均保证本合同所列明的电话号码、传真号码、电子信箱等均真实有效，且双方均保证本合同所列明的各自邮政编码及地址即构成与本合同相关之询问、答复、意向、通知、说明、请求、承认、新的要约或承诺、协议等信函、文书之真实有效的送达地址。</w:t>
      </w:r>
    </w:p>
    <w:p w14:paraId="291C3305">
      <w:pPr>
        <w:ind w:firstLine="420"/>
        <w:rPr>
          <w:rFonts w:ascii="宋体" w:hAnsi="宋体"/>
          <w:kern w:val="0"/>
          <w:szCs w:val="21"/>
        </w:rPr>
      </w:pPr>
      <w:r>
        <w:rPr>
          <w:rFonts w:hint="eastAsia" w:ascii="宋体" w:hAnsi="宋体"/>
          <w:kern w:val="0"/>
          <w:szCs w:val="21"/>
        </w:rPr>
        <w:t>2.如一方以特快专递的方式邮寄文书至对方送达地址的，以投邮之日起第三日视为已送达，且视为受送达方已清楚、准确地知晓送达文书所包含的全部内容。</w:t>
      </w:r>
    </w:p>
    <w:p w14:paraId="39DE035C">
      <w:pPr>
        <w:ind w:firstLine="420"/>
        <w:rPr>
          <w:rFonts w:ascii="宋体" w:hAnsi="宋体"/>
          <w:kern w:val="0"/>
          <w:szCs w:val="21"/>
        </w:rPr>
      </w:pPr>
      <w:r>
        <w:rPr>
          <w:rFonts w:hint="eastAsia" w:ascii="宋体" w:hAnsi="宋体"/>
          <w:kern w:val="0"/>
          <w:szCs w:val="21"/>
        </w:rPr>
        <w:t>3.对于电话号码、传真号码、电子信箱、送达地址等如有变更的，应在变更之日起三日内以书面形式通知对方，未经通知的，视为未变更。送达地址变更未及时告知对方的，或受送达人本人或者受送达人指定的代收人拒绝签收的，导致信函、文书不能被受送达人实际接收的，文书退回之日视为送达之日。</w:t>
      </w:r>
    </w:p>
    <w:p w14:paraId="1533B146">
      <w:pPr>
        <w:pStyle w:val="3"/>
        <w:ind w:left="1260" w:firstLine="420"/>
        <w:rPr>
          <w:rFonts w:ascii="宋体" w:hAnsi="宋体"/>
        </w:rPr>
      </w:pPr>
    </w:p>
    <w:p w14:paraId="7B247D87">
      <w:pPr>
        <w:ind w:firstLine="452"/>
        <w:rPr>
          <w:rFonts w:ascii="宋体" w:hAnsi="宋体" w:cs="宋体"/>
          <w:spacing w:val="8"/>
          <w:kern w:val="0"/>
          <w:szCs w:val="21"/>
        </w:rPr>
      </w:pPr>
      <w:r>
        <w:rPr>
          <w:rFonts w:hint="eastAsia" w:ascii="宋体" w:hAnsi="宋体" w:cs="宋体"/>
          <w:spacing w:val="8"/>
          <w:kern w:val="0"/>
          <w:szCs w:val="21"/>
        </w:rPr>
        <w:t>（以下无正文）</w:t>
      </w:r>
    </w:p>
    <w:p w14:paraId="41F09F9A">
      <w:pPr>
        <w:ind w:firstLine="452"/>
        <w:rPr>
          <w:rFonts w:ascii="宋体" w:hAnsi="宋体" w:cs="宋体"/>
          <w:spacing w:val="8"/>
          <w:kern w:val="0"/>
          <w:szCs w:val="21"/>
        </w:rPr>
      </w:pPr>
    </w:p>
    <w:tbl>
      <w:tblPr>
        <w:tblStyle w:val="9"/>
        <w:tblW w:w="8873" w:type="dxa"/>
        <w:jc w:val="center"/>
        <w:tblLayout w:type="autofit"/>
        <w:tblCellMar>
          <w:top w:w="0" w:type="dxa"/>
          <w:left w:w="108" w:type="dxa"/>
          <w:bottom w:w="0" w:type="dxa"/>
          <w:right w:w="108" w:type="dxa"/>
        </w:tblCellMar>
      </w:tblPr>
      <w:tblGrid>
        <w:gridCol w:w="1858"/>
        <w:gridCol w:w="2361"/>
        <w:gridCol w:w="1876"/>
        <w:gridCol w:w="2778"/>
      </w:tblGrid>
      <w:tr w14:paraId="15E9A627">
        <w:tblPrEx>
          <w:tblCellMar>
            <w:top w:w="0" w:type="dxa"/>
            <w:left w:w="108" w:type="dxa"/>
            <w:bottom w:w="0" w:type="dxa"/>
            <w:right w:w="108" w:type="dxa"/>
          </w:tblCellMar>
        </w:tblPrEx>
        <w:trPr>
          <w:trHeight w:val="454" w:hRule="atLeast"/>
          <w:jc w:val="center"/>
        </w:trPr>
        <w:tc>
          <w:tcPr>
            <w:tcW w:w="4219" w:type="dxa"/>
            <w:gridSpan w:val="2"/>
            <w:vAlign w:val="center"/>
          </w:tcPr>
          <w:p w14:paraId="47279EA7">
            <w:pPr>
              <w:ind w:firstLine="0" w:firstLineChars="0"/>
              <w:jc w:val="left"/>
              <w:rPr>
                <w:rFonts w:hint="eastAsia" w:ascii="宋体" w:hAnsi="宋体" w:eastAsia="宋体"/>
                <w:bCs/>
                <w:szCs w:val="21"/>
                <w:lang w:eastAsia="zh-CN"/>
              </w:rPr>
            </w:pPr>
            <w:r>
              <w:rPr>
                <w:rFonts w:ascii="宋体" w:hAnsi="宋体"/>
                <w:bCs/>
                <w:szCs w:val="21"/>
              </w:rPr>
              <w:t>委托人（盖章）：</w:t>
            </w:r>
            <w:r>
              <w:rPr>
                <w:rFonts w:hint="eastAsia"/>
                <w:spacing w:val="-6"/>
                <w:szCs w:val="21"/>
                <w:lang w:eastAsia="zh-CN"/>
              </w:rPr>
              <w:t>深圳市新龙观投资发展有限公司</w:t>
            </w:r>
          </w:p>
        </w:tc>
        <w:tc>
          <w:tcPr>
            <w:tcW w:w="4654" w:type="dxa"/>
            <w:gridSpan w:val="2"/>
            <w:vAlign w:val="center"/>
          </w:tcPr>
          <w:p w14:paraId="55FE3FFD">
            <w:pPr>
              <w:ind w:firstLine="0" w:firstLineChars="0"/>
              <w:jc w:val="left"/>
              <w:rPr>
                <w:rFonts w:ascii="宋体" w:hAnsi="宋体"/>
                <w:bCs/>
                <w:szCs w:val="21"/>
              </w:rPr>
            </w:pPr>
            <w:r>
              <w:rPr>
                <w:rFonts w:hint="eastAsia" w:ascii="宋体" w:hAnsi="宋体"/>
                <w:bCs/>
                <w:szCs w:val="21"/>
              </w:rPr>
              <w:t>受托</w:t>
            </w:r>
            <w:r>
              <w:rPr>
                <w:rFonts w:ascii="宋体" w:hAnsi="宋体"/>
                <w:bCs/>
                <w:szCs w:val="21"/>
              </w:rPr>
              <w:t>人（盖章）：</w:t>
            </w:r>
            <w:r>
              <w:rPr>
                <w:rFonts w:hint="eastAsia" w:ascii="宋体" w:hAnsi="宋体"/>
                <w:bCs/>
                <w:szCs w:val="21"/>
                <w:lang w:eastAsia="zh-CN"/>
              </w:rPr>
              <w:t>XXXX</w:t>
            </w:r>
            <w:r>
              <w:rPr>
                <w:rFonts w:hint="eastAsia" w:ascii="宋体" w:hAnsi="宋体"/>
                <w:bCs/>
                <w:szCs w:val="21"/>
              </w:rPr>
              <w:t>有限公司</w:t>
            </w:r>
          </w:p>
        </w:tc>
      </w:tr>
      <w:tr w14:paraId="106E3D82">
        <w:tblPrEx>
          <w:tblCellMar>
            <w:top w:w="0" w:type="dxa"/>
            <w:left w:w="108" w:type="dxa"/>
            <w:bottom w:w="0" w:type="dxa"/>
            <w:right w:w="108" w:type="dxa"/>
          </w:tblCellMar>
        </w:tblPrEx>
        <w:trPr>
          <w:trHeight w:val="454" w:hRule="atLeast"/>
          <w:jc w:val="center"/>
        </w:trPr>
        <w:tc>
          <w:tcPr>
            <w:tcW w:w="1858" w:type="dxa"/>
            <w:vAlign w:val="center"/>
          </w:tcPr>
          <w:p w14:paraId="3F97E675">
            <w:pPr>
              <w:ind w:firstLine="0" w:firstLineChars="0"/>
              <w:jc w:val="left"/>
              <w:rPr>
                <w:rFonts w:ascii="宋体" w:hAnsi="宋体"/>
                <w:bCs/>
                <w:szCs w:val="21"/>
              </w:rPr>
            </w:pPr>
            <w:r>
              <w:rPr>
                <w:rFonts w:ascii="宋体" w:hAnsi="宋体"/>
                <w:bCs/>
                <w:szCs w:val="21"/>
              </w:rPr>
              <w:t>法定代表人或委托代理人（签名）：</w:t>
            </w:r>
          </w:p>
        </w:tc>
        <w:tc>
          <w:tcPr>
            <w:tcW w:w="2361" w:type="dxa"/>
            <w:vAlign w:val="center"/>
          </w:tcPr>
          <w:p w14:paraId="4170EA80">
            <w:pPr>
              <w:ind w:firstLine="420"/>
              <w:jc w:val="left"/>
              <w:rPr>
                <w:rFonts w:ascii="宋体" w:hAnsi="宋体"/>
                <w:bCs/>
                <w:szCs w:val="21"/>
              </w:rPr>
            </w:pPr>
          </w:p>
        </w:tc>
        <w:tc>
          <w:tcPr>
            <w:tcW w:w="1876" w:type="dxa"/>
            <w:vAlign w:val="center"/>
          </w:tcPr>
          <w:p w14:paraId="23E0FBBB">
            <w:pPr>
              <w:ind w:firstLine="0" w:firstLineChars="0"/>
              <w:jc w:val="left"/>
              <w:rPr>
                <w:rFonts w:ascii="宋体" w:hAnsi="宋体"/>
                <w:bCs/>
                <w:szCs w:val="21"/>
              </w:rPr>
            </w:pPr>
            <w:r>
              <w:rPr>
                <w:rFonts w:ascii="宋体" w:hAnsi="宋体"/>
                <w:bCs/>
                <w:szCs w:val="21"/>
              </w:rPr>
              <w:t>法定代表人或委托代理人（签名）：</w:t>
            </w:r>
          </w:p>
        </w:tc>
        <w:tc>
          <w:tcPr>
            <w:tcW w:w="2778" w:type="dxa"/>
            <w:vAlign w:val="center"/>
          </w:tcPr>
          <w:p w14:paraId="0925F680">
            <w:pPr>
              <w:ind w:firstLine="420"/>
              <w:jc w:val="left"/>
              <w:rPr>
                <w:rFonts w:ascii="宋体" w:hAnsi="宋体"/>
                <w:bCs/>
                <w:szCs w:val="21"/>
              </w:rPr>
            </w:pPr>
          </w:p>
        </w:tc>
      </w:tr>
      <w:tr w14:paraId="508774CA">
        <w:tblPrEx>
          <w:tblCellMar>
            <w:top w:w="0" w:type="dxa"/>
            <w:left w:w="108" w:type="dxa"/>
            <w:bottom w:w="0" w:type="dxa"/>
            <w:right w:w="108" w:type="dxa"/>
          </w:tblCellMar>
        </w:tblPrEx>
        <w:trPr>
          <w:trHeight w:val="454" w:hRule="atLeast"/>
          <w:jc w:val="center"/>
        </w:trPr>
        <w:tc>
          <w:tcPr>
            <w:tcW w:w="4219" w:type="dxa"/>
            <w:gridSpan w:val="2"/>
            <w:vAlign w:val="center"/>
          </w:tcPr>
          <w:p w14:paraId="703A4FC2">
            <w:pPr>
              <w:ind w:firstLine="0" w:firstLineChars="0"/>
              <w:jc w:val="left"/>
              <w:rPr>
                <w:rFonts w:hint="eastAsia" w:ascii="宋体" w:hAnsi="宋体" w:eastAsia="宋体"/>
                <w:bCs/>
                <w:szCs w:val="21"/>
                <w:lang w:eastAsia="zh-CN"/>
              </w:rPr>
            </w:pPr>
            <w:r>
              <w:rPr>
                <w:rFonts w:ascii="宋体" w:hAnsi="宋体"/>
                <w:spacing w:val="-6"/>
                <w:szCs w:val="21"/>
              </w:rPr>
              <w:t>纳税识别号：</w:t>
            </w:r>
            <w:r>
              <w:rPr>
                <w:rFonts w:hint="eastAsia" w:ascii="宋体" w:hAnsi="宋体"/>
                <w:spacing w:val="-6"/>
                <w:szCs w:val="21"/>
                <w:lang w:val="en-US" w:eastAsia="zh-CN"/>
              </w:rPr>
              <w:t xml:space="preserve"> </w:t>
            </w:r>
          </w:p>
        </w:tc>
        <w:tc>
          <w:tcPr>
            <w:tcW w:w="4654" w:type="dxa"/>
            <w:gridSpan w:val="2"/>
            <w:vAlign w:val="center"/>
          </w:tcPr>
          <w:p w14:paraId="0812B3C6">
            <w:pPr>
              <w:ind w:firstLine="0" w:firstLineChars="0"/>
              <w:jc w:val="left"/>
              <w:rPr>
                <w:rFonts w:hint="eastAsia" w:ascii="宋体" w:hAnsi="宋体" w:eastAsia="宋体"/>
                <w:bCs/>
                <w:szCs w:val="21"/>
                <w:lang w:eastAsia="zh-CN"/>
              </w:rPr>
            </w:pPr>
            <w:r>
              <w:rPr>
                <w:rFonts w:ascii="宋体" w:hAnsi="宋体"/>
                <w:spacing w:val="-6"/>
                <w:szCs w:val="21"/>
              </w:rPr>
              <w:t>纳税识别号：</w:t>
            </w:r>
            <w:r>
              <w:rPr>
                <w:rFonts w:hint="eastAsia" w:ascii="宋体" w:hAnsi="宋体"/>
                <w:spacing w:val="-6"/>
                <w:szCs w:val="21"/>
                <w:lang w:val="en-US" w:eastAsia="zh-CN"/>
              </w:rPr>
              <w:t xml:space="preserve"> </w:t>
            </w:r>
          </w:p>
        </w:tc>
      </w:tr>
      <w:tr w14:paraId="71C7A2A2">
        <w:tblPrEx>
          <w:tblCellMar>
            <w:top w:w="0" w:type="dxa"/>
            <w:left w:w="108" w:type="dxa"/>
            <w:bottom w:w="0" w:type="dxa"/>
            <w:right w:w="108" w:type="dxa"/>
          </w:tblCellMar>
        </w:tblPrEx>
        <w:trPr>
          <w:trHeight w:val="454" w:hRule="atLeast"/>
          <w:jc w:val="center"/>
        </w:trPr>
        <w:tc>
          <w:tcPr>
            <w:tcW w:w="4219" w:type="dxa"/>
            <w:gridSpan w:val="2"/>
            <w:vAlign w:val="center"/>
          </w:tcPr>
          <w:p w14:paraId="77985C9F">
            <w:pPr>
              <w:ind w:firstLine="0" w:firstLineChars="0"/>
              <w:jc w:val="left"/>
              <w:rPr>
                <w:rFonts w:hint="eastAsia" w:ascii="宋体" w:hAnsi="宋体" w:eastAsia="宋体"/>
                <w:bCs/>
                <w:szCs w:val="21"/>
                <w:lang w:eastAsia="zh-CN"/>
              </w:rPr>
            </w:pPr>
            <w:r>
              <w:rPr>
                <w:rFonts w:ascii="宋体" w:hAnsi="宋体"/>
                <w:bCs/>
                <w:szCs w:val="21"/>
              </w:rPr>
              <w:t>开户银行：</w:t>
            </w:r>
            <w:r>
              <w:rPr>
                <w:rFonts w:hint="eastAsia" w:ascii="宋体" w:hAnsi="宋体"/>
                <w:bCs/>
                <w:szCs w:val="21"/>
                <w:lang w:val="en-US" w:eastAsia="zh-CN"/>
              </w:rPr>
              <w:t xml:space="preserve"> </w:t>
            </w:r>
          </w:p>
        </w:tc>
        <w:tc>
          <w:tcPr>
            <w:tcW w:w="4654" w:type="dxa"/>
            <w:gridSpan w:val="2"/>
            <w:vAlign w:val="center"/>
          </w:tcPr>
          <w:p w14:paraId="2B26278A">
            <w:pPr>
              <w:ind w:firstLine="0" w:firstLineChars="0"/>
              <w:jc w:val="left"/>
              <w:rPr>
                <w:rFonts w:hint="eastAsia" w:ascii="宋体" w:hAnsi="宋体" w:eastAsia="宋体"/>
                <w:bCs/>
                <w:szCs w:val="21"/>
                <w:lang w:eastAsia="zh-CN"/>
              </w:rPr>
            </w:pPr>
            <w:r>
              <w:rPr>
                <w:rFonts w:ascii="宋体" w:hAnsi="宋体"/>
                <w:bCs/>
                <w:szCs w:val="21"/>
              </w:rPr>
              <w:t>开户银行：</w:t>
            </w:r>
            <w:r>
              <w:rPr>
                <w:rFonts w:hint="eastAsia" w:ascii="宋体" w:hAnsi="宋体"/>
                <w:bCs/>
                <w:szCs w:val="21"/>
                <w:lang w:val="en-US" w:eastAsia="zh-CN"/>
              </w:rPr>
              <w:t xml:space="preserve"> </w:t>
            </w:r>
          </w:p>
        </w:tc>
      </w:tr>
      <w:tr w14:paraId="7324F642">
        <w:tblPrEx>
          <w:tblCellMar>
            <w:top w:w="0" w:type="dxa"/>
            <w:left w:w="108" w:type="dxa"/>
            <w:bottom w:w="0" w:type="dxa"/>
            <w:right w:w="108" w:type="dxa"/>
          </w:tblCellMar>
        </w:tblPrEx>
        <w:trPr>
          <w:trHeight w:val="454" w:hRule="atLeast"/>
          <w:jc w:val="center"/>
        </w:trPr>
        <w:tc>
          <w:tcPr>
            <w:tcW w:w="4219" w:type="dxa"/>
            <w:gridSpan w:val="2"/>
            <w:vAlign w:val="center"/>
          </w:tcPr>
          <w:p w14:paraId="12B72853">
            <w:pPr>
              <w:ind w:firstLine="0" w:firstLineChars="0"/>
              <w:jc w:val="left"/>
              <w:rPr>
                <w:rFonts w:hint="eastAsia" w:ascii="宋体" w:hAnsi="宋体" w:eastAsia="宋体"/>
                <w:bCs/>
                <w:szCs w:val="21"/>
                <w:lang w:eastAsia="zh-CN"/>
              </w:rPr>
            </w:pPr>
            <w:r>
              <w:rPr>
                <w:rFonts w:hint="eastAsia" w:ascii="宋体" w:hAnsi="宋体"/>
                <w:bCs/>
                <w:szCs w:val="21"/>
              </w:rPr>
              <w:t>账号</w:t>
            </w:r>
            <w:r>
              <w:rPr>
                <w:rFonts w:ascii="宋体" w:hAnsi="宋体"/>
                <w:bCs/>
                <w:szCs w:val="21"/>
              </w:rPr>
              <w:t>：</w:t>
            </w:r>
            <w:r>
              <w:rPr>
                <w:rFonts w:hint="eastAsia" w:ascii="宋体" w:hAnsi="宋体"/>
                <w:bCs/>
                <w:szCs w:val="21"/>
                <w:lang w:val="en-US" w:eastAsia="zh-CN"/>
              </w:rPr>
              <w:t xml:space="preserve"> </w:t>
            </w:r>
          </w:p>
        </w:tc>
        <w:tc>
          <w:tcPr>
            <w:tcW w:w="4654" w:type="dxa"/>
            <w:gridSpan w:val="2"/>
            <w:vAlign w:val="center"/>
          </w:tcPr>
          <w:p w14:paraId="1792BB37">
            <w:pPr>
              <w:ind w:firstLine="0" w:firstLineChars="0"/>
              <w:jc w:val="left"/>
              <w:rPr>
                <w:rFonts w:hint="eastAsia" w:ascii="宋体" w:hAnsi="宋体" w:eastAsia="宋体"/>
                <w:bCs/>
                <w:szCs w:val="21"/>
                <w:lang w:eastAsia="zh-CN"/>
              </w:rPr>
            </w:pPr>
            <w:r>
              <w:rPr>
                <w:rFonts w:hint="eastAsia" w:ascii="宋体" w:hAnsi="宋体"/>
                <w:bCs/>
                <w:szCs w:val="21"/>
              </w:rPr>
              <w:t>账</w:t>
            </w:r>
            <w:r>
              <w:rPr>
                <w:rFonts w:ascii="宋体" w:hAnsi="宋体"/>
                <w:bCs/>
                <w:szCs w:val="21"/>
              </w:rPr>
              <w:t>号：</w:t>
            </w:r>
            <w:r>
              <w:rPr>
                <w:rFonts w:hint="eastAsia" w:ascii="宋体" w:hAnsi="宋体"/>
                <w:bCs/>
                <w:szCs w:val="21"/>
                <w:lang w:val="en-US" w:eastAsia="zh-CN"/>
              </w:rPr>
              <w:t xml:space="preserve"> </w:t>
            </w:r>
          </w:p>
        </w:tc>
      </w:tr>
      <w:tr w14:paraId="217210D7">
        <w:tblPrEx>
          <w:tblCellMar>
            <w:top w:w="0" w:type="dxa"/>
            <w:left w:w="108" w:type="dxa"/>
            <w:bottom w:w="0" w:type="dxa"/>
            <w:right w:w="108" w:type="dxa"/>
          </w:tblCellMar>
        </w:tblPrEx>
        <w:trPr>
          <w:trHeight w:val="454" w:hRule="atLeast"/>
          <w:jc w:val="center"/>
        </w:trPr>
        <w:tc>
          <w:tcPr>
            <w:tcW w:w="4219" w:type="dxa"/>
            <w:gridSpan w:val="2"/>
            <w:vAlign w:val="center"/>
          </w:tcPr>
          <w:p w14:paraId="6C08348A">
            <w:pPr>
              <w:ind w:firstLine="0" w:firstLineChars="0"/>
              <w:jc w:val="left"/>
              <w:rPr>
                <w:rFonts w:hint="eastAsia" w:ascii="宋体" w:hAnsi="宋体" w:eastAsia="宋体"/>
                <w:bCs/>
                <w:szCs w:val="21"/>
                <w:lang w:eastAsia="zh-CN"/>
              </w:rPr>
            </w:pPr>
            <w:r>
              <w:rPr>
                <w:rFonts w:ascii="宋体" w:hAnsi="宋体"/>
                <w:bCs/>
                <w:szCs w:val="21"/>
              </w:rPr>
              <w:t>电子邮箱：</w:t>
            </w:r>
            <w:r>
              <w:rPr>
                <w:rFonts w:hint="eastAsia" w:ascii="宋体" w:hAnsi="宋体"/>
                <w:bCs/>
                <w:szCs w:val="21"/>
                <w:lang w:val="en-US" w:eastAsia="zh-CN"/>
              </w:rPr>
              <w:t xml:space="preserve"> </w:t>
            </w:r>
          </w:p>
        </w:tc>
        <w:tc>
          <w:tcPr>
            <w:tcW w:w="4654" w:type="dxa"/>
            <w:gridSpan w:val="2"/>
            <w:vAlign w:val="center"/>
          </w:tcPr>
          <w:p w14:paraId="11D48800">
            <w:pPr>
              <w:ind w:firstLine="0" w:firstLineChars="0"/>
              <w:jc w:val="left"/>
              <w:rPr>
                <w:rFonts w:hint="eastAsia" w:ascii="宋体" w:hAnsi="宋体" w:eastAsia="宋体"/>
                <w:bCs/>
                <w:szCs w:val="21"/>
                <w:lang w:eastAsia="zh-CN"/>
              </w:rPr>
            </w:pPr>
            <w:r>
              <w:rPr>
                <w:rFonts w:ascii="宋体" w:hAnsi="宋体"/>
                <w:bCs/>
                <w:szCs w:val="21"/>
              </w:rPr>
              <w:t>电子邮箱：</w:t>
            </w:r>
            <w:r>
              <w:rPr>
                <w:rFonts w:hint="eastAsia" w:ascii="宋体" w:hAnsi="宋体"/>
                <w:bCs/>
                <w:szCs w:val="21"/>
                <w:lang w:val="en-US" w:eastAsia="zh-CN"/>
              </w:rPr>
              <w:t xml:space="preserve"> </w:t>
            </w:r>
          </w:p>
        </w:tc>
      </w:tr>
      <w:tr w14:paraId="2C189831">
        <w:tblPrEx>
          <w:tblCellMar>
            <w:top w:w="0" w:type="dxa"/>
            <w:left w:w="108" w:type="dxa"/>
            <w:bottom w:w="0" w:type="dxa"/>
            <w:right w:w="108" w:type="dxa"/>
          </w:tblCellMar>
        </w:tblPrEx>
        <w:trPr>
          <w:trHeight w:val="454" w:hRule="atLeast"/>
          <w:jc w:val="center"/>
        </w:trPr>
        <w:tc>
          <w:tcPr>
            <w:tcW w:w="4219" w:type="dxa"/>
            <w:gridSpan w:val="2"/>
            <w:vAlign w:val="center"/>
          </w:tcPr>
          <w:p w14:paraId="2FFCBB5C">
            <w:pPr>
              <w:ind w:firstLine="0" w:firstLineChars="0"/>
              <w:jc w:val="left"/>
              <w:rPr>
                <w:rFonts w:hint="eastAsia" w:ascii="宋体" w:hAnsi="宋体" w:eastAsia="宋体"/>
                <w:bCs/>
                <w:szCs w:val="21"/>
                <w:lang w:eastAsia="zh-CN"/>
              </w:rPr>
            </w:pPr>
            <w:r>
              <w:rPr>
                <w:rFonts w:ascii="宋体" w:hAnsi="宋体"/>
                <w:bCs/>
                <w:szCs w:val="21"/>
              </w:rPr>
              <w:t xml:space="preserve">联系人： </w:t>
            </w:r>
            <w:r>
              <w:rPr>
                <w:rFonts w:hint="eastAsia" w:ascii="宋体" w:hAnsi="宋体"/>
                <w:bCs/>
                <w:szCs w:val="21"/>
                <w:lang w:val="en-US" w:eastAsia="zh-CN"/>
              </w:rPr>
              <w:t xml:space="preserve"> </w:t>
            </w:r>
          </w:p>
        </w:tc>
        <w:tc>
          <w:tcPr>
            <w:tcW w:w="4654" w:type="dxa"/>
            <w:gridSpan w:val="2"/>
            <w:vAlign w:val="center"/>
          </w:tcPr>
          <w:p w14:paraId="0DAC7531">
            <w:pPr>
              <w:ind w:firstLine="0" w:firstLineChars="0"/>
              <w:jc w:val="left"/>
              <w:rPr>
                <w:rFonts w:ascii="宋体" w:hAnsi="宋体"/>
                <w:bCs/>
                <w:szCs w:val="21"/>
              </w:rPr>
            </w:pPr>
            <w:r>
              <w:rPr>
                <w:rFonts w:ascii="宋体" w:hAnsi="宋体"/>
                <w:bCs/>
                <w:szCs w:val="21"/>
              </w:rPr>
              <w:t>联系人：</w:t>
            </w:r>
          </w:p>
        </w:tc>
      </w:tr>
      <w:tr w14:paraId="5F2A413A">
        <w:tblPrEx>
          <w:tblCellMar>
            <w:top w:w="0" w:type="dxa"/>
            <w:left w:w="108" w:type="dxa"/>
            <w:bottom w:w="0" w:type="dxa"/>
            <w:right w:w="108" w:type="dxa"/>
          </w:tblCellMar>
        </w:tblPrEx>
        <w:trPr>
          <w:trHeight w:val="454" w:hRule="atLeast"/>
          <w:jc w:val="center"/>
        </w:trPr>
        <w:tc>
          <w:tcPr>
            <w:tcW w:w="4219" w:type="dxa"/>
            <w:gridSpan w:val="2"/>
            <w:vAlign w:val="center"/>
          </w:tcPr>
          <w:p w14:paraId="46935CE7">
            <w:pPr>
              <w:ind w:firstLine="0" w:firstLineChars="0"/>
              <w:jc w:val="left"/>
              <w:rPr>
                <w:rFonts w:hint="eastAsia" w:ascii="宋体" w:hAnsi="宋体" w:eastAsia="宋体"/>
                <w:bCs/>
                <w:szCs w:val="21"/>
                <w:lang w:eastAsia="zh-CN"/>
              </w:rPr>
            </w:pPr>
            <w:r>
              <w:rPr>
                <w:rFonts w:ascii="宋体" w:hAnsi="宋体"/>
                <w:bCs/>
                <w:szCs w:val="21"/>
              </w:rPr>
              <w:t>联系方式：</w:t>
            </w:r>
            <w:r>
              <w:rPr>
                <w:rFonts w:hint="eastAsia" w:ascii="宋体" w:hAnsi="宋体"/>
                <w:bCs/>
                <w:szCs w:val="21"/>
                <w:lang w:val="en-US" w:eastAsia="zh-CN"/>
              </w:rPr>
              <w:t xml:space="preserve"> </w:t>
            </w:r>
          </w:p>
        </w:tc>
        <w:tc>
          <w:tcPr>
            <w:tcW w:w="4654" w:type="dxa"/>
            <w:gridSpan w:val="2"/>
            <w:vAlign w:val="center"/>
          </w:tcPr>
          <w:p w14:paraId="1E5FE03D">
            <w:pPr>
              <w:ind w:firstLine="0" w:firstLineChars="0"/>
              <w:jc w:val="left"/>
              <w:rPr>
                <w:rFonts w:ascii="宋体" w:hAnsi="宋体"/>
                <w:bCs/>
                <w:szCs w:val="21"/>
              </w:rPr>
            </w:pPr>
            <w:r>
              <w:rPr>
                <w:rFonts w:ascii="宋体" w:hAnsi="宋体"/>
                <w:bCs/>
                <w:szCs w:val="21"/>
              </w:rPr>
              <w:t>联系方式：</w:t>
            </w:r>
            <w:r>
              <w:rPr>
                <w:rFonts w:hint="eastAsia" w:ascii="宋体" w:hAnsi="宋体"/>
                <w:bCs/>
                <w:szCs w:val="21"/>
                <w:lang w:val="en-US" w:eastAsia="zh-CN"/>
              </w:rPr>
              <w:t xml:space="preserve"> </w:t>
            </w:r>
            <w:r>
              <w:rPr>
                <w:rFonts w:hint="eastAsia" w:ascii="宋体" w:hAnsi="宋体"/>
                <w:bCs/>
                <w:szCs w:val="21"/>
              </w:rPr>
              <w:t xml:space="preserve"> </w:t>
            </w:r>
          </w:p>
        </w:tc>
      </w:tr>
      <w:tr w14:paraId="52F8C3D0">
        <w:tblPrEx>
          <w:tblCellMar>
            <w:top w:w="0" w:type="dxa"/>
            <w:left w:w="108" w:type="dxa"/>
            <w:bottom w:w="0" w:type="dxa"/>
            <w:right w:w="108" w:type="dxa"/>
          </w:tblCellMar>
        </w:tblPrEx>
        <w:trPr>
          <w:trHeight w:val="454" w:hRule="atLeast"/>
          <w:jc w:val="center"/>
        </w:trPr>
        <w:tc>
          <w:tcPr>
            <w:tcW w:w="4219" w:type="dxa"/>
            <w:gridSpan w:val="2"/>
            <w:vAlign w:val="center"/>
          </w:tcPr>
          <w:p w14:paraId="73152955">
            <w:pPr>
              <w:ind w:firstLine="0" w:firstLineChars="0"/>
              <w:jc w:val="left"/>
              <w:rPr>
                <w:rFonts w:hint="eastAsia" w:ascii="宋体" w:hAnsi="宋体" w:eastAsia="宋体"/>
                <w:bCs/>
                <w:szCs w:val="21"/>
                <w:lang w:eastAsia="zh-CN"/>
              </w:rPr>
            </w:pPr>
            <w:r>
              <w:rPr>
                <w:rFonts w:hint="eastAsia" w:ascii="宋体" w:hAnsi="宋体"/>
                <w:bCs/>
                <w:szCs w:val="21"/>
              </w:rPr>
              <w:t>联系地址：</w:t>
            </w:r>
            <w:r>
              <w:rPr>
                <w:rFonts w:hint="eastAsia"/>
                <w:spacing w:val="-6"/>
                <w:szCs w:val="21"/>
                <w:lang w:val="en-US" w:eastAsia="zh-CN"/>
              </w:rPr>
              <w:t xml:space="preserve"> </w:t>
            </w:r>
          </w:p>
        </w:tc>
        <w:tc>
          <w:tcPr>
            <w:tcW w:w="4654" w:type="dxa"/>
            <w:gridSpan w:val="2"/>
            <w:vAlign w:val="center"/>
          </w:tcPr>
          <w:p w14:paraId="0DDF84DD">
            <w:pPr>
              <w:pStyle w:val="8"/>
              <w:ind w:left="0" w:leftChars="0" w:firstLine="0" w:firstLineChars="0"/>
              <w:rPr>
                <w:rFonts w:hint="eastAsia" w:ascii="宋体" w:hAnsi="宋体" w:eastAsia="宋体"/>
                <w:bCs/>
                <w:szCs w:val="21"/>
                <w:lang w:eastAsia="zh-CN"/>
              </w:rPr>
            </w:pPr>
            <w:r>
              <w:rPr>
                <w:rFonts w:hint="eastAsia" w:ascii="宋体" w:hAnsi="宋体"/>
                <w:bCs/>
                <w:szCs w:val="21"/>
              </w:rPr>
              <w:t>联系地址:</w:t>
            </w:r>
            <w:r>
              <w:rPr>
                <w:rFonts w:hint="eastAsia" w:ascii="宋体" w:hAnsi="宋体"/>
                <w:bCs/>
                <w:szCs w:val="21"/>
                <w:lang w:val="en-US" w:eastAsia="zh-CN"/>
              </w:rPr>
              <w:t xml:space="preserve"> </w:t>
            </w:r>
          </w:p>
        </w:tc>
      </w:tr>
    </w:tbl>
    <w:p w14:paraId="2C7CDEE0">
      <w:pPr>
        <w:ind w:firstLine="376"/>
        <w:rPr>
          <w:rFonts w:ascii="宋体" w:hAnsi="宋体"/>
          <w:spacing w:val="-6"/>
          <w:sz w:val="20"/>
          <w:szCs w:val="21"/>
        </w:rPr>
      </w:pPr>
      <w:r>
        <w:rPr>
          <w:rFonts w:ascii="宋体" w:hAnsi="宋体"/>
          <w:spacing w:val="-6"/>
          <w:sz w:val="20"/>
          <w:szCs w:val="21"/>
        </w:rPr>
        <w:br w:type="page"/>
      </w:r>
    </w:p>
    <w:p w14:paraId="4D7F08D2">
      <w:pPr>
        <w:ind w:firstLine="734"/>
        <w:jc w:val="center"/>
        <w:outlineLvl w:val="1"/>
        <w:rPr>
          <w:rFonts w:ascii="宋体" w:hAnsi="宋体" w:cs="Arial"/>
          <w:szCs w:val="21"/>
        </w:rPr>
      </w:pPr>
      <w:r>
        <w:rPr>
          <w:rFonts w:hint="eastAsia" w:ascii="宋体" w:hAnsi="宋体"/>
          <w:b/>
          <w:sz w:val="36"/>
          <w:szCs w:val="36"/>
        </w:rPr>
        <w:t>第二部分 通用条款</w:t>
      </w:r>
    </w:p>
    <w:p w14:paraId="1D824B24">
      <w:pPr>
        <w:ind w:firstLine="571"/>
        <w:jc w:val="center"/>
        <w:rPr>
          <w:rFonts w:ascii="宋体" w:hAnsi="宋体"/>
          <w:b/>
          <w:sz w:val="28"/>
        </w:rPr>
      </w:pPr>
      <w:r>
        <w:rPr>
          <w:rFonts w:hint="eastAsia" w:ascii="宋体" w:hAnsi="宋体"/>
          <w:b/>
          <w:sz w:val="28"/>
        </w:rPr>
        <w:t>词语定义：适用语言和法律、法规</w:t>
      </w:r>
    </w:p>
    <w:p w14:paraId="2A89584E">
      <w:pPr>
        <w:ind w:firstLine="420"/>
        <w:rPr>
          <w:rFonts w:ascii="宋体" w:hAnsi="宋体"/>
          <w:szCs w:val="21"/>
        </w:rPr>
      </w:pPr>
      <w:r>
        <w:rPr>
          <w:rFonts w:hint="eastAsia" w:ascii="宋体" w:hAnsi="宋体"/>
          <w:szCs w:val="21"/>
        </w:rPr>
        <w:t>第一条  下列名词和用语，除上下文另有规定外具有如下含义：</w:t>
      </w:r>
    </w:p>
    <w:p w14:paraId="720D72F6">
      <w:pPr>
        <w:ind w:firstLine="420"/>
        <w:rPr>
          <w:rFonts w:ascii="宋体" w:hAnsi="宋体"/>
          <w:szCs w:val="21"/>
        </w:rPr>
      </w:pPr>
      <w:r>
        <w:rPr>
          <w:rFonts w:ascii="宋体" w:hAnsi="宋体"/>
          <w:szCs w:val="21"/>
        </w:rPr>
        <w:t>1</w:t>
      </w:r>
      <w:r>
        <w:rPr>
          <w:rFonts w:hint="eastAsia" w:ascii="宋体" w:hAnsi="宋体"/>
          <w:szCs w:val="21"/>
        </w:rPr>
        <w:t>.</w:t>
      </w:r>
      <w:r>
        <w:rPr>
          <w:rFonts w:ascii="宋体" w:hAnsi="宋体"/>
          <w:szCs w:val="21"/>
        </w:rPr>
        <w:t>“委托人”</w:t>
      </w:r>
      <w:r>
        <w:rPr>
          <w:rFonts w:hint="eastAsia" w:ascii="宋体" w:hAnsi="宋体"/>
          <w:szCs w:val="21"/>
        </w:rPr>
        <w:t>、“甲方”</w:t>
      </w:r>
      <w:r>
        <w:rPr>
          <w:rFonts w:ascii="宋体" w:hAnsi="宋体"/>
          <w:szCs w:val="21"/>
        </w:rPr>
        <w:t>是指委托本建设工程造价咨询工作的一方，及其合法继承人。</w:t>
      </w:r>
    </w:p>
    <w:p w14:paraId="09004447">
      <w:pPr>
        <w:ind w:firstLine="420"/>
        <w:rPr>
          <w:rFonts w:ascii="宋体" w:hAnsi="宋体"/>
          <w:szCs w:val="21"/>
        </w:rPr>
      </w:pPr>
      <w:r>
        <w:rPr>
          <w:rFonts w:ascii="宋体" w:hAnsi="宋体"/>
          <w:szCs w:val="21"/>
        </w:rPr>
        <w:t>2</w:t>
      </w:r>
      <w:r>
        <w:rPr>
          <w:rFonts w:hint="eastAsia" w:ascii="宋体" w:hAnsi="宋体"/>
          <w:szCs w:val="21"/>
        </w:rPr>
        <w:t>.</w:t>
      </w:r>
      <w:r>
        <w:rPr>
          <w:rFonts w:ascii="宋体" w:hAnsi="宋体"/>
          <w:szCs w:val="21"/>
        </w:rPr>
        <w:t>“咨询人”</w:t>
      </w:r>
      <w:r>
        <w:rPr>
          <w:rFonts w:hint="eastAsia" w:ascii="宋体" w:hAnsi="宋体"/>
          <w:szCs w:val="21"/>
        </w:rPr>
        <w:t>、“乙方”</w:t>
      </w:r>
      <w:r>
        <w:rPr>
          <w:rFonts w:ascii="宋体" w:hAnsi="宋体"/>
          <w:szCs w:val="21"/>
        </w:rPr>
        <w:t>是指承担建设工程造价咨询工作的一方，及其合法继承人。</w:t>
      </w:r>
    </w:p>
    <w:p w14:paraId="6A480379">
      <w:pPr>
        <w:ind w:firstLine="420"/>
        <w:rPr>
          <w:rFonts w:ascii="宋体" w:hAnsi="宋体"/>
          <w:szCs w:val="21"/>
        </w:rPr>
      </w:pPr>
      <w:r>
        <w:rPr>
          <w:rFonts w:ascii="宋体" w:hAnsi="宋体"/>
          <w:szCs w:val="21"/>
        </w:rPr>
        <w:t>3</w:t>
      </w:r>
      <w:r>
        <w:rPr>
          <w:rFonts w:hint="eastAsia" w:ascii="宋体" w:hAnsi="宋体"/>
          <w:szCs w:val="21"/>
        </w:rPr>
        <w:t>.</w:t>
      </w:r>
      <w:r>
        <w:rPr>
          <w:rFonts w:ascii="宋体" w:hAnsi="宋体"/>
          <w:szCs w:val="21"/>
        </w:rPr>
        <w:t>“第三人”是指出委托人、咨询人以外与本咨询工作有关的当事人。</w:t>
      </w:r>
    </w:p>
    <w:p w14:paraId="67BA3530">
      <w:pPr>
        <w:ind w:firstLine="420"/>
        <w:rPr>
          <w:rFonts w:ascii="宋体" w:hAnsi="宋体"/>
          <w:szCs w:val="21"/>
        </w:rPr>
      </w:pPr>
      <w:r>
        <w:rPr>
          <w:rFonts w:ascii="宋体" w:hAnsi="宋体"/>
          <w:szCs w:val="21"/>
        </w:rPr>
        <w:t>4</w:t>
      </w:r>
      <w:r>
        <w:rPr>
          <w:rFonts w:hint="eastAsia" w:ascii="宋体" w:hAnsi="宋体"/>
          <w:szCs w:val="21"/>
        </w:rPr>
        <w:t>.</w:t>
      </w:r>
      <w:r>
        <w:rPr>
          <w:rFonts w:ascii="宋体" w:hAnsi="宋体"/>
          <w:szCs w:val="21"/>
        </w:rPr>
        <w:t>“本合同时间以“天”为计算单位。事件当天不计入，从次日开始计算。时限的最后一天是节假日的，以节假日次日为时限的最后一天，时限最后一天的截止时间为24小时。</w:t>
      </w:r>
    </w:p>
    <w:p w14:paraId="6D97526B">
      <w:pPr>
        <w:ind w:firstLine="420"/>
        <w:rPr>
          <w:rFonts w:ascii="宋体" w:hAnsi="宋体"/>
          <w:szCs w:val="21"/>
        </w:rPr>
      </w:pPr>
      <w:r>
        <w:rPr>
          <w:rFonts w:hint="eastAsia" w:ascii="宋体" w:hAnsi="宋体"/>
          <w:szCs w:val="21"/>
        </w:rPr>
        <w:t>第二条  本合同适用中国的法律、法规和规章，合同双方当事人可以在专用条款中约定适用的具体法律、法规、规章和工程造价计价办法。</w:t>
      </w:r>
    </w:p>
    <w:p w14:paraId="6141C6DC">
      <w:pPr>
        <w:ind w:firstLine="420"/>
        <w:rPr>
          <w:rFonts w:ascii="宋体" w:hAnsi="宋体"/>
          <w:szCs w:val="21"/>
        </w:rPr>
      </w:pPr>
      <w:r>
        <w:rPr>
          <w:rFonts w:hint="eastAsia" w:ascii="宋体" w:hAnsi="宋体"/>
          <w:szCs w:val="21"/>
        </w:rPr>
        <w:t>第三条  本合同的书写、解释或说明，以汉语为主导语言。当不同语言文本发生不同解释时，以汉语合同文本为准。</w:t>
      </w:r>
    </w:p>
    <w:p w14:paraId="3376C6A8">
      <w:pPr>
        <w:ind w:firstLine="571"/>
        <w:jc w:val="center"/>
        <w:rPr>
          <w:rFonts w:ascii="宋体" w:hAnsi="宋体"/>
          <w:b/>
          <w:sz w:val="28"/>
        </w:rPr>
      </w:pPr>
      <w:r>
        <w:rPr>
          <w:rFonts w:hint="eastAsia" w:ascii="宋体" w:hAnsi="宋体"/>
          <w:b/>
          <w:sz w:val="28"/>
        </w:rPr>
        <w:t>咨询人的义务</w:t>
      </w:r>
    </w:p>
    <w:p w14:paraId="6EAFE19C">
      <w:pPr>
        <w:ind w:firstLine="420"/>
        <w:rPr>
          <w:rFonts w:ascii="宋体" w:hAnsi="宋体"/>
          <w:szCs w:val="21"/>
        </w:rPr>
      </w:pPr>
      <w:r>
        <w:rPr>
          <w:rFonts w:hint="eastAsia" w:ascii="宋体" w:hAnsi="宋体"/>
          <w:szCs w:val="21"/>
        </w:rPr>
        <w:t>第四条  咨询人按合同协议书中的约定的工作范围实施咨询工作。当委托人有要求时，应向委托人提供与本工程造价咨询工作有关的资料，包括工程造价咨询单位的资质证书及承担本合同咨询工作的专业人员名单、咨询工作计划等。</w:t>
      </w:r>
    </w:p>
    <w:p w14:paraId="6C6F21EB">
      <w:pPr>
        <w:ind w:firstLine="420"/>
        <w:rPr>
          <w:rFonts w:ascii="宋体" w:hAnsi="宋体"/>
          <w:szCs w:val="21"/>
        </w:rPr>
      </w:pPr>
      <w:r>
        <w:rPr>
          <w:rFonts w:hint="eastAsia" w:ascii="宋体" w:hAnsi="宋体"/>
          <w:szCs w:val="21"/>
        </w:rPr>
        <w:t>第五条  咨询人在履行本合同期间，应当按委托人的要求提供服务，保质按时完成工程造价咨询工作。</w:t>
      </w:r>
    </w:p>
    <w:p w14:paraId="7E752522">
      <w:pPr>
        <w:ind w:firstLine="420"/>
        <w:rPr>
          <w:rFonts w:ascii="宋体" w:hAnsi="宋体"/>
          <w:szCs w:val="21"/>
        </w:rPr>
      </w:pPr>
      <w:r>
        <w:rPr>
          <w:rFonts w:hint="eastAsia" w:ascii="宋体" w:hAnsi="宋体"/>
          <w:szCs w:val="21"/>
        </w:rPr>
        <w:t>第六条  委托人及第三人提出与本咨询工作有关的问题并要求进行核对时，咨询人应在约定的时间内给予书面答复或核对。</w:t>
      </w:r>
    </w:p>
    <w:p w14:paraId="6F1E97CA">
      <w:pPr>
        <w:ind w:firstLine="420"/>
        <w:rPr>
          <w:rFonts w:ascii="宋体" w:hAnsi="宋体"/>
          <w:szCs w:val="21"/>
        </w:rPr>
      </w:pPr>
      <w:r>
        <w:rPr>
          <w:rFonts w:hint="eastAsia" w:ascii="宋体" w:hAnsi="宋体"/>
          <w:szCs w:val="21"/>
        </w:rPr>
        <w:t>第七条  在履行合同期间或合同终止后，未征得委托人书面同意，不得泄露与本工程有关的保密资料。</w:t>
      </w:r>
    </w:p>
    <w:p w14:paraId="03B205C4">
      <w:pPr>
        <w:ind w:firstLine="571"/>
        <w:jc w:val="center"/>
        <w:rPr>
          <w:rFonts w:ascii="宋体" w:hAnsi="宋体"/>
          <w:b/>
          <w:sz w:val="28"/>
          <w:szCs w:val="28"/>
        </w:rPr>
      </w:pPr>
      <w:r>
        <w:rPr>
          <w:rFonts w:hint="eastAsia" w:ascii="宋体" w:hAnsi="宋体"/>
          <w:b/>
          <w:sz w:val="28"/>
          <w:szCs w:val="28"/>
        </w:rPr>
        <w:t>委托人的义务</w:t>
      </w:r>
    </w:p>
    <w:p w14:paraId="5F93DA89">
      <w:pPr>
        <w:ind w:firstLine="420"/>
        <w:rPr>
          <w:rFonts w:ascii="宋体" w:hAnsi="宋体"/>
          <w:szCs w:val="21"/>
        </w:rPr>
      </w:pPr>
      <w:r>
        <w:rPr>
          <w:rFonts w:hint="eastAsia" w:ascii="宋体" w:hAnsi="宋体"/>
          <w:szCs w:val="21"/>
        </w:rPr>
        <w:t>第八条  委托人应负责与本咨询工作有关的第三人的协调工作，为咨询人工作提供外部条件。</w:t>
      </w:r>
    </w:p>
    <w:p w14:paraId="4633ABA9">
      <w:pPr>
        <w:ind w:firstLine="420"/>
        <w:rPr>
          <w:rFonts w:ascii="宋体" w:hAnsi="宋体"/>
          <w:szCs w:val="21"/>
        </w:rPr>
      </w:pPr>
      <w:r>
        <w:rPr>
          <w:rFonts w:hint="eastAsia" w:ascii="宋体" w:hAnsi="宋体"/>
          <w:szCs w:val="21"/>
        </w:rPr>
        <w:t>第九条  委托人应当在约定的时间内，免费向咨询人提供与本咨询工作有关的全部资料。</w:t>
      </w:r>
    </w:p>
    <w:p w14:paraId="474D4FD4">
      <w:pPr>
        <w:ind w:firstLine="420"/>
        <w:rPr>
          <w:rFonts w:ascii="宋体" w:hAnsi="宋体"/>
          <w:szCs w:val="21"/>
        </w:rPr>
      </w:pPr>
      <w:r>
        <w:rPr>
          <w:rFonts w:hint="eastAsia" w:ascii="宋体" w:hAnsi="宋体"/>
          <w:szCs w:val="21"/>
        </w:rPr>
        <w:t>第十条  委托人应当在约定的时间内就咨询人书面提交并要求做出答复的事宜做出书面答复。咨询人要求第三人提供资料时，委托人应当负责转达及资料转送。</w:t>
      </w:r>
    </w:p>
    <w:p w14:paraId="7BFC6542">
      <w:pPr>
        <w:ind w:firstLine="420"/>
        <w:rPr>
          <w:rFonts w:ascii="宋体" w:hAnsi="宋体"/>
          <w:szCs w:val="21"/>
        </w:rPr>
      </w:pPr>
      <w:r>
        <w:rPr>
          <w:rFonts w:hint="eastAsia" w:ascii="宋体" w:hAnsi="宋体"/>
          <w:szCs w:val="21"/>
        </w:rPr>
        <w:t>第十一条  委托人应当授权胜任本项委托的工作代表，负责与咨询人联系。</w:t>
      </w:r>
    </w:p>
    <w:p w14:paraId="1CC58EBD">
      <w:pPr>
        <w:ind w:firstLine="420"/>
        <w:rPr>
          <w:rFonts w:ascii="宋体" w:hAnsi="宋体"/>
          <w:szCs w:val="21"/>
        </w:rPr>
      </w:pPr>
      <w:r>
        <w:rPr>
          <w:rFonts w:hint="eastAsia" w:ascii="宋体" w:hAnsi="宋体"/>
          <w:szCs w:val="21"/>
        </w:rPr>
        <w:t>第十二条   委托人应按时向咨询人支付咨询酬金。</w:t>
      </w:r>
    </w:p>
    <w:p w14:paraId="6201A294">
      <w:pPr>
        <w:ind w:firstLine="571"/>
        <w:jc w:val="center"/>
        <w:rPr>
          <w:rFonts w:ascii="宋体" w:hAnsi="宋体"/>
          <w:b/>
          <w:sz w:val="28"/>
          <w:szCs w:val="28"/>
        </w:rPr>
      </w:pPr>
      <w:r>
        <w:rPr>
          <w:rFonts w:hint="eastAsia" w:ascii="宋体" w:hAnsi="宋体"/>
          <w:b/>
          <w:sz w:val="28"/>
          <w:szCs w:val="28"/>
        </w:rPr>
        <w:t>咨询人的权利</w:t>
      </w:r>
    </w:p>
    <w:p w14:paraId="73C6F143">
      <w:pPr>
        <w:ind w:firstLine="420"/>
        <w:rPr>
          <w:rFonts w:ascii="宋体" w:hAnsi="宋体"/>
          <w:szCs w:val="21"/>
        </w:rPr>
      </w:pPr>
      <w:r>
        <w:rPr>
          <w:rFonts w:hint="eastAsia" w:ascii="宋体" w:hAnsi="宋体"/>
          <w:szCs w:val="21"/>
        </w:rPr>
        <w:t>第十三条  在委托人委托的建设工程造价咨询工作范围内，咨询人具有以下权利：</w:t>
      </w:r>
    </w:p>
    <w:p w14:paraId="32228DF4">
      <w:pPr>
        <w:ind w:firstLine="420"/>
        <w:rPr>
          <w:rFonts w:ascii="宋体" w:hAnsi="宋体"/>
          <w:szCs w:val="21"/>
        </w:rPr>
      </w:pPr>
      <w:r>
        <w:rPr>
          <w:rFonts w:hint="eastAsia" w:ascii="宋体" w:hAnsi="宋体"/>
          <w:szCs w:val="21"/>
        </w:rPr>
        <w:t>1.咨询人在履行咨询工作过程中，如委托人提供资料不明确时，可要求委托人补充资料。</w:t>
      </w:r>
    </w:p>
    <w:p w14:paraId="72AC91CB">
      <w:pPr>
        <w:ind w:firstLine="420"/>
        <w:rPr>
          <w:rFonts w:ascii="宋体" w:hAnsi="宋体"/>
          <w:szCs w:val="21"/>
        </w:rPr>
      </w:pPr>
      <w:r>
        <w:rPr>
          <w:rFonts w:hint="eastAsia" w:ascii="宋体" w:hAnsi="宋体"/>
          <w:szCs w:val="21"/>
        </w:rPr>
        <w:t>2.咨询人在咨询过程中，有权对第三人提出与本咨询工作有关的问题并进行核对。</w:t>
      </w:r>
    </w:p>
    <w:p w14:paraId="616215E0">
      <w:pPr>
        <w:ind w:firstLine="420"/>
        <w:rPr>
          <w:rFonts w:ascii="宋体" w:hAnsi="宋体"/>
          <w:szCs w:val="21"/>
        </w:rPr>
      </w:pPr>
      <w:r>
        <w:rPr>
          <w:rFonts w:hint="eastAsia" w:ascii="宋体" w:hAnsi="宋体"/>
          <w:szCs w:val="21"/>
        </w:rPr>
        <w:t>3.咨询人在进行咨询工作过程中，有到工程现场勘察的权利。</w:t>
      </w:r>
    </w:p>
    <w:p w14:paraId="0AEE1968">
      <w:pPr>
        <w:ind w:firstLine="420"/>
        <w:rPr>
          <w:rFonts w:ascii="宋体" w:hAnsi="宋体"/>
          <w:szCs w:val="21"/>
        </w:rPr>
      </w:pPr>
      <w:r>
        <w:rPr>
          <w:rFonts w:hint="eastAsia" w:ascii="宋体" w:hAnsi="宋体"/>
          <w:szCs w:val="21"/>
        </w:rPr>
        <w:t>第十四条  由于委托人的原因使咨询人的工作受到延误或增加了额外工作内容，则咨询人应当将此情况与可能产生的影响及时书面通知委托人。委托人应顺延延误的工作时间并支付额外增加工作内容的酬金。</w:t>
      </w:r>
    </w:p>
    <w:p w14:paraId="6B5154E3">
      <w:pPr>
        <w:ind w:firstLine="571"/>
        <w:jc w:val="center"/>
        <w:rPr>
          <w:rFonts w:ascii="宋体" w:hAnsi="宋体"/>
          <w:b/>
          <w:sz w:val="28"/>
          <w:szCs w:val="28"/>
        </w:rPr>
      </w:pPr>
      <w:r>
        <w:rPr>
          <w:rFonts w:hint="eastAsia" w:ascii="宋体" w:hAnsi="宋体"/>
          <w:b/>
          <w:sz w:val="28"/>
          <w:szCs w:val="28"/>
        </w:rPr>
        <w:t>委托人的权利</w:t>
      </w:r>
    </w:p>
    <w:p w14:paraId="2A328BD1">
      <w:pPr>
        <w:ind w:firstLine="420"/>
        <w:rPr>
          <w:rFonts w:ascii="宋体" w:hAnsi="宋体"/>
          <w:szCs w:val="21"/>
        </w:rPr>
      </w:pPr>
      <w:r>
        <w:rPr>
          <w:rFonts w:hint="eastAsia" w:ascii="宋体" w:hAnsi="宋体"/>
          <w:szCs w:val="21"/>
        </w:rPr>
        <w:t>第十五条  委托人有以下权利：</w:t>
      </w:r>
    </w:p>
    <w:p w14:paraId="702A946F">
      <w:pPr>
        <w:ind w:firstLine="420"/>
        <w:rPr>
          <w:rFonts w:ascii="宋体" w:hAnsi="宋体"/>
          <w:szCs w:val="21"/>
        </w:rPr>
      </w:pPr>
      <w:r>
        <w:rPr>
          <w:rFonts w:hint="eastAsia" w:ascii="宋体" w:hAnsi="宋体"/>
          <w:szCs w:val="21"/>
        </w:rPr>
        <w:t>1.委托人有权向咨询人询问工作进展情况及相关的内容。</w:t>
      </w:r>
    </w:p>
    <w:p w14:paraId="2C8D596A">
      <w:pPr>
        <w:ind w:firstLine="420"/>
        <w:rPr>
          <w:rFonts w:ascii="宋体" w:hAnsi="宋体"/>
          <w:szCs w:val="21"/>
        </w:rPr>
      </w:pPr>
      <w:r>
        <w:rPr>
          <w:rFonts w:hint="eastAsia" w:ascii="宋体" w:hAnsi="宋体"/>
          <w:szCs w:val="21"/>
        </w:rPr>
        <w:t>2.委托人有权阐述对具体问题的意见和建议。</w:t>
      </w:r>
    </w:p>
    <w:p w14:paraId="45AC1159">
      <w:pPr>
        <w:ind w:firstLine="420"/>
        <w:rPr>
          <w:rFonts w:ascii="宋体" w:hAnsi="宋体"/>
          <w:szCs w:val="21"/>
        </w:rPr>
      </w:pPr>
      <w:r>
        <w:rPr>
          <w:rFonts w:hint="eastAsia" w:ascii="宋体" w:hAnsi="宋体"/>
          <w:szCs w:val="21"/>
        </w:rPr>
        <w:t>3.咨询专业人员不按咨询合同履行其职责，或与第三人串通给委托人造成经济损失，委托人掌握证据证明或咨询人主管单位认定属实的，委托人有权要求更换咨询专业人员，直至终止合同并要求咨询人承担相应的赔偿责任。</w:t>
      </w:r>
    </w:p>
    <w:p w14:paraId="75225500">
      <w:pPr>
        <w:ind w:firstLine="571"/>
        <w:jc w:val="center"/>
        <w:rPr>
          <w:rFonts w:ascii="宋体" w:hAnsi="宋体"/>
          <w:b/>
          <w:sz w:val="28"/>
        </w:rPr>
      </w:pPr>
      <w:r>
        <w:rPr>
          <w:rFonts w:hint="eastAsia" w:ascii="宋体" w:hAnsi="宋体"/>
          <w:b/>
          <w:sz w:val="28"/>
        </w:rPr>
        <w:t>咨询人的责任</w:t>
      </w:r>
    </w:p>
    <w:p w14:paraId="4123E0C1">
      <w:pPr>
        <w:ind w:firstLine="420"/>
        <w:rPr>
          <w:rFonts w:ascii="宋体" w:hAnsi="宋体"/>
          <w:szCs w:val="21"/>
        </w:rPr>
      </w:pPr>
      <w:r>
        <w:rPr>
          <w:rFonts w:hint="eastAsia" w:ascii="宋体" w:hAnsi="宋体"/>
          <w:szCs w:val="21"/>
        </w:rPr>
        <w:t>第十六条  咨询人应当认真履行咨询合同中约定的咨询工作，并对其出具的咨询工作文件的真实性和准确性负责。因咨询人单位过失给委托人造成的经济损失，应当给委托人进行赔偿。</w:t>
      </w:r>
    </w:p>
    <w:p w14:paraId="18721A6B">
      <w:pPr>
        <w:ind w:firstLine="420"/>
        <w:rPr>
          <w:rFonts w:ascii="宋体" w:hAnsi="宋体"/>
          <w:szCs w:val="21"/>
        </w:rPr>
      </w:pPr>
      <w:r>
        <w:rPr>
          <w:rFonts w:hint="eastAsia" w:ascii="宋体" w:hAnsi="宋体"/>
          <w:szCs w:val="21"/>
        </w:rPr>
        <w:t>第十七条  咨询人未履行合同约定的义务，导致合同不能全部或部分履行，咨询人应当承担责任。</w:t>
      </w:r>
    </w:p>
    <w:p w14:paraId="6C6C273A">
      <w:pPr>
        <w:ind w:firstLine="420"/>
        <w:rPr>
          <w:rFonts w:ascii="宋体" w:hAnsi="宋体"/>
          <w:szCs w:val="21"/>
        </w:rPr>
      </w:pPr>
      <w:r>
        <w:rPr>
          <w:rFonts w:hint="eastAsia" w:ascii="宋体" w:hAnsi="宋体"/>
          <w:szCs w:val="21"/>
        </w:rPr>
        <w:t>第十八条  咨询人向委托人提出赔偿要求不能成立时，如果该赔偿导致委托人不必要的各种费用支出，咨询人则应补偿。</w:t>
      </w:r>
    </w:p>
    <w:p w14:paraId="0C29CA4B">
      <w:pPr>
        <w:ind w:firstLine="571"/>
        <w:jc w:val="center"/>
        <w:rPr>
          <w:rFonts w:ascii="宋体" w:hAnsi="宋体"/>
          <w:b/>
          <w:sz w:val="28"/>
          <w:szCs w:val="28"/>
        </w:rPr>
      </w:pPr>
      <w:r>
        <w:rPr>
          <w:rFonts w:hint="eastAsia" w:ascii="宋体" w:hAnsi="宋体"/>
          <w:b/>
          <w:sz w:val="28"/>
          <w:szCs w:val="28"/>
        </w:rPr>
        <w:t>委托人的责任</w:t>
      </w:r>
    </w:p>
    <w:p w14:paraId="3A425A37">
      <w:pPr>
        <w:ind w:firstLine="420"/>
        <w:rPr>
          <w:rFonts w:ascii="宋体" w:hAnsi="宋体"/>
          <w:szCs w:val="21"/>
        </w:rPr>
      </w:pPr>
      <w:r>
        <w:rPr>
          <w:rFonts w:hint="eastAsia" w:ascii="宋体" w:hAnsi="宋体"/>
          <w:szCs w:val="21"/>
        </w:rPr>
        <w:t>第十九条   委托人向咨询人提供的全部资料，应对资料的真实性、准确性和有效性负责。</w:t>
      </w:r>
    </w:p>
    <w:p w14:paraId="1E8BC7F3">
      <w:pPr>
        <w:ind w:firstLine="420"/>
        <w:rPr>
          <w:rFonts w:ascii="宋体" w:hAnsi="宋体"/>
          <w:szCs w:val="21"/>
        </w:rPr>
      </w:pPr>
      <w:r>
        <w:rPr>
          <w:rFonts w:hint="eastAsia" w:ascii="宋体" w:hAnsi="宋体"/>
          <w:szCs w:val="21"/>
        </w:rPr>
        <w:t>第二十条   委托人未履行合同约定的义务，应承担相应的责任，给咨询人造成损失时，应赔偿咨询人的损失。</w:t>
      </w:r>
    </w:p>
    <w:p w14:paraId="73827231">
      <w:pPr>
        <w:ind w:firstLine="420"/>
        <w:rPr>
          <w:rFonts w:ascii="宋体" w:hAnsi="宋体"/>
          <w:szCs w:val="21"/>
        </w:rPr>
      </w:pPr>
      <w:r>
        <w:rPr>
          <w:rFonts w:hint="eastAsia" w:ascii="宋体" w:hAnsi="宋体"/>
          <w:szCs w:val="21"/>
        </w:rPr>
        <w:t>第二十一条   委托人向咨询人提出赔偿或其他要求不能成立时，如果因该赔偿或其他要求导致咨询人不必要的各种费用支出，委托人则应补偿。</w:t>
      </w:r>
    </w:p>
    <w:p w14:paraId="6E63B57D">
      <w:pPr>
        <w:ind w:firstLine="571"/>
        <w:jc w:val="center"/>
        <w:rPr>
          <w:rFonts w:ascii="宋体" w:hAnsi="宋体"/>
          <w:b/>
          <w:sz w:val="28"/>
        </w:rPr>
      </w:pPr>
      <w:r>
        <w:rPr>
          <w:rFonts w:hint="eastAsia" w:ascii="宋体" w:hAnsi="宋体"/>
          <w:b/>
          <w:sz w:val="28"/>
        </w:rPr>
        <w:t>咨询酬金</w:t>
      </w:r>
    </w:p>
    <w:p w14:paraId="023667A3">
      <w:pPr>
        <w:ind w:firstLine="420"/>
        <w:rPr>
          <w:rFonts w:ascii="宋体" w:hAnsi="宋体"/>
          <w:szCs w:val="21"/>
        </w:rPr>
      </w:pPr>
      <w:r>
        <w:rPr>
          <w:rFonts w:hint="eastAsia" w:ascii="宋体" w:hAnsi="宋体"/>
          <w:szCs w:val="21"/>
        </w:rPr>
        <w:t>第二十二条  咨询酬金应按建设工程造价咨询合同协议书中约定的方法计取，并按约定的时间和数额支付。</w:t>
      </w:r>
    </w:p>
    <w:p w14:paraId="7C3288FD">
      <w:pPr>
        <w:ind w:firstLine="420"/>
        <w:rPr>
          <w:rFonts w:ascii="宋体" w:hAnsi="宋体"/>
          <w:szCs w:val="21"/>
        </w:rPr>
      </w:pPr>
      <w:r>
        <w:rPr>
          <w:rFonts w:hint="eastAsia" w:ascii="宋体" w:hAnsi="宋体"/>
          <w:szCs w:val="21"/>
        </w:rPr>
        <w:t>第二十三条   委托人超过约定时间不支付咨询酬金，委托人应从约定应付之日起向咨询人支付应付酬金的贷款利息。</w:t>
      </w:r>
    </w:p>
    <w:p w14:paraId="39BE5BA2">
      <w:pPr>
        <w:ind w:firstLine="420"/>
        <w:rPr>
          <w:rFonts w:ascii="宋体" w:hAnsi="宋体"/>
          <w:szCs w:val="21"/>
        </w:rPr>
      </w:pPr>
      <w:r>
        <w:rPr>
          <w:rFonts w:hint="eastAsia" w:ascii="宋体" w:hAnsi="宋体"/>
          <w:szCs w:val="21"/>
        </w:rPr>
        <w:t>第二十四条   委托人如果对咨询人提交的支付通知书中酬金或部分酬金项目提出异议，应当在收到支付通知书后3日内向咨询人发出异议的通知，但委托人不得拖延其无异议酬金项目的支付。</w:t>
      </w:r>
    </w:p>
    <w:p w14:paraId="56CE1ADC">
      <w:pPr>
        <w:ind w:firstLine="420"/>
        <w:rPr>
          <w:rFonts w:ascii="宋体" w:hAnsi="宋体"/>
          <w:szCs w:val="21"/>
        </w:rPr>
      </w:pPr>
      <w:r>
        <w:rPr>
          <w:rFonts w:hint="eastAsia" w:ascii="宋体" w:hAnsi="宋体"/>
          <w:szCs w:val="21"/>
        </w:rPr>
        <w:t>第二十五条   支付咨询酬金所采取的货币币种、汇率在合同专用条款中约定。</w:t>
      </w:r>
    </w:p>
    <w:p w14:paraId="3BE94EED">
      <w:pPr>
        <w:ind w:firstLine="571"/>
        <w:jc w:val="center"/>
        <w:rPr>
          <w:rFonts w:ascii="宋体" w:hAnsi="宋体"/>
          <w:b/>
          <w:sz w:val="28"/>
          <w:szCs w:val="28"/>
        </w:rPr>
      </w:pPr>
      <w:r>
        <w:rPr>
          <w:rFonts w:hint="eastAsia" w:ascii="宋体" w:hAnsi="宋体"/>
          <w:b/>
          <w:sz w:val="28"/>
          <w:szCs w:val="28"/>
        </w:rPr>
        <w:t>合同生效、变更与终止</w:t>
      </w:r>
    </w:p>
    <w:p w14:paraId="0085AE3F">
      <w:pPr>
        <w:tabs>
          <w:tab w:val="left" w:pos="426"/>
        </w:tabs>
        <w:ind w:firstLine="420"/>
        <w:rPr>
          <w:rFonts w:ascii="宋体" w:hAnsi="宋体"/>
          <w:szCs w:val="21"/>
        </w:rPr>
      </w:pPr>
      <w:r>
        <w:rPr>
          <w:rFonts w:hint="eastAsia" w:ascii="宋体" w:hAnsi="宋体"/>
          <w:szCs w:val="21"/>
        </w:rPr>
        <w:t>第二十六条  本合同自双方签字盖章之日起生效。</w:t>
      </w:r>
    </w:p>
    <w:p w14:paraId="237A59B1">
      <w:pPr>
        <w:tabs>
          <w:tab w:val="left" w:pos="426"/>
        </w:tabs>
        <w:ind w:firstLine="420"/>
        <w:rPr>
          <w:rFonts w:ascii="宋体" w:hAnsi="宋体"/>
          <w:szCs w:val="21"/>
        </w:rPr>
      </w:pPr>
      <w:r>
        <w:rPr>
          <w:rFonts w:hint="eastAsia" w:ascii="宋体" w:hAnsi="宋体"/>
          <w:szCs w:val="21"/>
        </w:rPr>
        <w:t>第二十七条  咨询人无正当理由未完成咨询工作时，委托人向咨询人发出未尽义务的通知。若委托人发出通知后</w:t>
      </w:r>
      <w:r>
        <w:rPr>
          <w:rFonts w:ascii="宋体" w:hAnsi="宋体"/>
          <w:szCs w:val="21"/>
        </w:rPr>
        <w:t>7日内没有收到答复，可在通知发出21日后向咨询人发出终止工程造价咨询委托合同的通知，合同即行终止，咨询人承担违约责任。</w:t>
      </w:r>
    </w:p>
    <w:p w14:paraId="27CF94A0">
      <w:pPr>
        <w:tabs>
          <w:tab w:val="left" w:pos="426"/>
        </w:tabs>
        <w:ind w:firstLine="420"/>
        <w:rPr>
          <w:rFonts w:ascii="宋体" w:hAnsi="宋体"/>
          <w:szCs w:val="21"/>
        </w:rPr>
      </w:pPr>
      <w:r>
        <w:rPr>
          <w:rFonts w:hint="eastAsia" w:ascii="宋体" w:hAnsi="宋体"/>
          <w:szCs w:val="21"/>
        </w:rPr>
        <w:t>第二十八条</w:t>
      </w:r>
      <w:r>
        <w:rPr>
          <w:rFonts w:ascii="宋体" w:hAnsi="宋体"/>
          <w:szCs w:val="21"/>
        </w:rPr>
        <w:t xml:space="preserve">  当事人一方要求变更或解除合同时，应当提前14日通知对方；因变更或解除合同使一方遭受损失的，应由责任方承担。</w:t>
      </w:r>
    </w:p>
    <w:p w14:paraId="61857B61">
      <w:pPr>
        <w:tabs>
          <w:tab w:val="left" w:pos="426"/>
        </w:tabs>
        <w:ind w:firstLine="420"/>
        <w:rPr>
          <w:rFonts w:ascii="宋体" w:hAnsi="宋体"/>
          <w:szCs w:val="21"/>
        </w:rPr>
      </w:pPr>
      <w:r>
        <w:rPr>
          <w:rFonts w:hint="eastAsia" w:ascii="宋体" w:hAnsi="宋体"/>
          <w:szCs w:val="21"/>
        </w:rPr>
        <w:t>第二十九条  变更或解除合同的通知或协议应当采取书面形式，新的协议未达成之前，原合同仍然有效。</w:t>
      </w:r>
    </w:p>
    <w:p w14:paraId="58DB11BD">
      <w:pPr>
        <w:tabs>
          <w:tab w:val="left" w:pos="426"/>
        </w:tabs>
        <w:ind w:firstLine="420"/>
        <w:rPr>
          <w:rFonts w:ascii="宋体" w:hAnsi="宋体"/>
          <w:sz w:val="24"/>
        </w:rPr>
      </w:pPr>
      <w:r>
        <w:rPr>
          <w:rFonts w:hint="eastAsia" w:ascii="宋体" w:hAnsi="宋体"/>
          <w:szCs w:val="21"/>
        </w:rPr>
        <w:t>第三十条</w:t>
      </w:r>
      <w:r>
        <w:rPr>
          <w:rFonts w:ascii="宋体" w:hAnsi="宋体"/>
          <w:szCs w:val="21"/>
        </w:rPr>
        <w:t xml:space="preserve">  委托人和咨询人履行完毕本合同全部义务，咨询人向委托人提交符合合同约定的咨询工作文件，委托人按合同约定支付全部咨询酬金后，除本合同保密条款继续生效，本合同即告终止。</w:t>
      </w:r>
    </w:p>
    <w:p w14:paraId="67446B8E">
      <w:pPr>
        <w:ind w:firstLine="571"/>
        <w:jc w:val="center"/>
        <w:rPr>
          <w:rFonts w:ascii="宋体" w:hAnsi="宋体"/>
          <w:b/>
          <w:sz w:val="28"/>
          <w:szCs w:val="28"/>
        </w:rPr>
      </w:pPr>
      <w:r>
        <w:rPr>
          <w:rFonts w:hint="eastAsia" w:ascii="宋体" w:hAnsi="宋体"/>
          <w:b/>
          <w:sz w:val="28"/>
          <w:szCs w:val="28"/>
        </w:rPr>
        <w:t>其他</w:t>
      </w:r>
    </w:p>
    <w:p w14:paraId="46DF1601">
      <w:pPr>
        <w:tabs>
          <w:tab w:val="left" w:pos="426"/>
        </w:tabs>
        <w:ind w:firstLine="420"/>
        <w:rPr>
          <w:rFonts w:ascii="宋体" w:hAnsi="宋体"/>
          <w:szCs w:val="21"/>
        </w:rPr>
      </w:pPr>
      <w:r>
        <w:rPr>
          <w:rFonts w:hint="eastAsia" w:ascii="宋体" w:hAnsi="宋体"/>
          <w:szCs w:val="21"/>
        </w:rPr>
        <w:t>第三十一条</w:t>
      </w:r>
      <w:r>
        <w:rPr>
          <w:rFonts w:ascii="宋体" w:hAnsi="宋体"/>
          <w:szCs w:val="21"/>
        </w:rPr>
        <w:t xml:space="preserve">  因本咨询工作的需要，咨询人在合同约定外的外出考察，经委托人同意，其所需要费用由委托人负责</w:t>
      </w:r>
      <w:r>
        <w:rPr>
          <w:rFonts w:hint="eastAsia" w:ascii="宋体" w:hAnsi="宋体"/>
          <w:szCs w:val="21"/>
        </w:rPr>
        <w:t>，未经委托人书面同意的，所产生的所有费用由咨询人自行承担。</w:t>
      </w:r>
    </w:p>
    <w:p w14:paraId="775C0205">
      <w:pPr>
        <w:tabs>
          <w:tab w:val="left" w:pos="426"/>
        </w:tabs>
        <w:ind w:firstLine="420"/>
        <w:rPr>
          <w:rFonts w:ascii="宋体" w:hAnsi="宋体"/>
          <w:szCs w:val="21"/>
        </w:rPr>
      </w:pPr>
      <w:r>
        <w:rPr>
          <w:rFonts w:hint="eastAsia" w:ascii="宋体" w:hAnsi="宋体"/>
          <w:szCs w:val="21"/>
        </w:rPr>
        <w:t>第三十二条</w:t>
      </w:r>
      <w:r>
        <w:rPr>
          <w:rFonts w:ascii="宋体" w:hAnsi="宋体"/>
          <w:szCs w:val="21"/>
        </w:rPr>
        <w:t xml:space="preserve">   咨询人如需外聘专家协助，在委托的本咨询工作范围内，其费用由咨询人承担；在委托的本咨询工作范围以外的，经委托人</w:t>
      </w:r>
      <w:r>
        <w:rPr>
          <w:rFonts w:hint="eastAsia" w:ascii="宋体" w:hAnsi="宋体"/>
          <w:szCs w:val="21"/>
        </w:rPr>
        <w:t>书面同意认可，其费用由委托人承担。</w:t>
      </w:r>
    </w:p>
    <w:p w14:paraId="1FC67BF8">
      <w:pPr>
        <w:tabs>
          <w:tab w:val="left" w:pos="426"/>
        </w:tabs>
        <w:ind w:firstLine="420"/>
        <w:rPr>
          <w:rFonts w:ascii="宋体" w:hAnsi="宋体"/>
          <w:szCs w:val="21"/>
        </w:rPr>
      </w:pPr>
      <w:r>
        <w:rPr>
          <w:rFonts w:hint="eastAsia" w:ascii="宋体" w:hAnsi="宋体"/>
          <w:szCs w:val="21"/>
        </w:rPr>
        <w:t>第三十三条   除委托人书面同意外，咨询人及咨询专业人员不应接受本咨询合同约定以外的与咨询工作有关的任何报酬。</w:t>
      </w:r>
    </w:p>
    <w:p w14:paraId="1C8EA034">
      <w:pPr>
        <w:tabs>
          <w:tab w:val="left" w:pos="426"/>
        </w:tabs>
        <w:ind w:firstLine="420"/>
        <w:rPr>
          <w:rFonts w:ascii="宋体" w:hAnsi="宋体"/>
          <w:sz w:val="24"/>
        </w:rPr>
      </w:pPr>
      <w:r>
        <w:rPr>
          <w:rFonts w:hint="eastAsia" w:ascii="宋体" w:hAnsi="宋体"/>
          <w:szCs w:val="21"/>
        </w:rPr>
        <w:t>咨询人不得参与对委托人利益相冲突的任何活动。</w:t>
      </w:r>
    </w:p>
    <w:p w14:paraId="26A4ACD4">
      <w:pPr>
        <w:ind w:firstLine="571"/>
        <w:jc w:val="center"/>
        <w:rPr>
          <w:rFonts w:ascii="宋体" w:hAnsi="宋体"/>
          <w:b/>
          <w:sz w:val="28"/>
        </w:rPr>
      </w:pPr>
      <w:r>
        <w:rPr>
          <w:rFonts w:hint="eastAsia" w:ascii="宋体" w:hAnsi="宋体"/>
          <w:b/>
          <w:sz w:val="28"/>
        </w:rPr>
        <w:t>争议的解决</w:t>
      </w:r>
    </w:p>
    <w:p w14:paraId="168714DD">
      <w:pPr>
        <w:tabs>
          <w:tab w:val="left" w:pos="426"/>
        </w:tabs>
        <w:ind w:firstLine="420"/>
        <w:rPr>
          <w:rFonts w:ascii="宋体" w:hAnsi="宋体"/>
          <w:szCs w:val="21"/>
        </w:rPr>
      </w:pPr>
      <w:r>
        <w:rPr>
          <w:rFonts w:hint="eastAsia" w:ascii="宋体" w:hAnsi="宋体"/>
          <w:szCs w:val="21"/>
        </w:rPr>
        <w:t>第三十五条</w:t>
      </w:r>
      <w:r>
        <w:rPr>
          <w:rFonts w:ascii="宋体" w:hAnsi="宋体"/>
          <w:szCs w:val="21"/>
        </w:rPr>
        <w:t xml:space="preserve">   因违约或终止合同而引起得损失和损害的赔偿，委托人与咨询人之间应当协商解决；如协商不成，可提交有关主管部门调解；如调解仍未能达成一致意见时，根据双方约定提交</w:t>
      </w:r>
      <w:r>
        <w:rPr>
          <w:rFonts w:hint="eastAsia" w:ascii="宋体" w:hAnsi="宋体"/>
          <w:szCs w:val="21"/>
        </w:rPr>
        <w:t>委托人所在地的人民法院诉讼解决。</w:t>
      </w:r>
    </w:p>
    <w:p w14:paraId="57381F93">
      <w:pPr>
        <w:tabs>
          <w:tab w:val="left" w:pos="426"/>
        </w:tabs>
        <w:ind w:firstLine="420"/>
        <w:jc w:val="center"/>
        <w:outlineLvl w:val="1"/>
        <w:rPr>
          <w:rFonts w:ascii="宋体" w:hAnsi="宋体"/>
          <w:sz w:val="24"/>
        </w:rPr>
      </w:pPr>
      <w:r>
        <w:rPr>
          <w:rFonts w:ascii="宋体" w:hAnsi="宋体"/>
          <w:szCs w:val="21"/>
        </w:rPr>
        <w:br w:type="page"/>
      </w:r>
      <w:r>
        <w:rPr>
          <w:rFonts w:hint="eastAsia" w:ascii="宋体" w:hAnsi="宋体"/>
          <w:b/>
          <w:sz w:val="36"/>
          <w:szCs w:val="36"/>
        </w:rPr>
        <w:t>第三部分  专用条款</w:t>
      </w:r>
    </w:p>
    <w:p w14:paraId="1F203A93">
      <w:pPr>
        <w:ind w:firstLine="420"/>
        <w:rPr>
          <w:rFonts w:ascii="宋体" w:hAnsi="宋体"/>
          <w:szCs w:val="21"/>
        </w:rPr>
      </w:pPr>
      <w:r>
        <w:rPr>
          <w:rFonts w:hint="eastAsia" w:ascii="宋体" w:hAnsi="宋体"/>
          <w:szCs w:val="21"/>
        </w:rPr>
        <w:t>第二条  本合同适用的法律、法规及工程造价计价办法和规定。</w:t>
      </w:r>
    </w:p>
    <w:p w14:paraId="3273C9A8">
      <w:pPr>
        <w:ind w:firstLine="420"/>
        <w:rPr>
          <w:rFonts w:ascii="宋体" w:hAnsi="宋体"/>
          <w:szCs w:val="21"/>
        </w:rPr>
      </w:pPr>
      <w:r>
        <w:rPr>
          <w:rFonts w:hint="eastAsia" w:ascii="宋体" w:hAnsi="宋体"/>
          <w:szCs w:val="21"/>
        </w:rPr>
        <w:t>现行的法律法规《工程造价咨询企业管理办法》、《建筑工程施工发包与承包计价管理办法》及《建设工程工程量清单计价规范》（</w:t>
      </w:r>
      <w:r>
        <w:rPr>
          <w:rFonts w:ascii="宋体" w:hAnsi="宋体"/>
          <w:szCs w:val="21"/>
        </w:rPr>
        <w:t>GB50500-2013）及深圳市补充规范；</w:t>
      </w:r>
      <w:r>
        <w:rPr>
          <w:rFonts w:hint="eastAsia" w:ascii="宋体" w:hAnsi="宋体"/>
          <w:szCs w:val="21"/>
        </w:rPr>
        <w:t>《深圳市建设工程计价规程》（</w:t>
      </w:r>
      <w:r>
        <w:rPr>
          <w:rFonts w:ascii="宋体" w:hAnsi="宋体"/>
          <w:szCs w:val="21"/>
        </w:rPr>
        <w:t>201</w:t>
      </w:r>
      <w:r>
        <w:rPr>
          <w:rFonts w:hint="eastAsia" w:ascii="宋体" w:hAnsi="宋体"/>
          <w:szCs w:val="21"/>
        </w:rPr>
        <w:t>7</w:t>
      </w:r>
      <w:r>
        <w:rPr>
          <w:rFonts w:ascii="宋体" w:hAnsi="宋体"/>
          <w:szCs w:val="21"/>
        </w:rPr>
        <w:t>）</w:t>
      </w:r>
      <w:r>
        <w:rPr>
          <w:rFonts w:hint="eastAsia" w:ascii="宋体" w:hAnsi="宋体"/>
          <w:szCs w:val="21"/>
        </w:rPr>
        <w:t>、《深圳市建设工程计价费率标准》、《深圳市建筑工程消耗量标准》（</w:t>
      </w:r>
      <w:r>
        <w:rPr>
          <w:rFonts w:ascii="宋体" w:hAnsi="宋体"/>
          <w:szCs w:val="21"/>
        </w:rPr>
        <w:t>20</w:t>
      </w:r>
      <w:r>
        <w:rPr>
          <w:rFonts w:hint="eastAsia" w:ascii="宋体" w:hAnsi="宋体"/>
          <w:szCs w:val="21"/>
        </w:rPr>
        <w:t>16）、《深圳市装饰工程消耗量定额》（</w:t>
      </w:r>
      <w:r>
        <w:rPr>
          <w:rFonts w:ascii="宋体" w:hAnsi="宋体"/>
          <w:szCs w:val="21"/>
        </w:rPr>
        <w:t>20</w:t>
      </w:r>
      <w:r>
        <w:rPr>
          <w:rFonts w:hint="eastAsia" w:ascii="宋体" w:hAnsi="宋体"/>
          <w:szCs w:val="21"/>
        </w:rPr>
        <w:t>20）、《深圳市安装工程消耗量标准》（</w:t>
      </w:r>
      <w:r>
        <w:rPr>
          <w:rFonts w:ascii="宋体" w:hAnsi="宋体"/>
          <w:szCs w:val="21"/>
        </w:rPr>
        <w:t>20</w:t>
      </w:r>
      <w:r>
        <w:rPr>
          <w:rFonts w:hint="eastAsia" w:ascii="宋体" w:hAnsi="宋体"/>
          <w:szCs w:val="21"/>
        </w:rPr>
        <w:t>20）、《深圳市市政工程消耗量</w:t>
      </w:r>
      <w:r>
        <w:rPr>
          <w:rFonts w:ascii="宋体" w:hAnsi="宋体"/>
          <w:szCs w:val="21"/>
        </w:rPr>
        <w:t>定额</w:t>
      </w:r>
      <w:r>
        <w:rPr>
          <w:rFonts w:hint="eastAsia" w:ascii="宋体" w:hAnsi="宋体"/>
          <w:szCs w:val="21"/>
        </w:rPr>
        <w:t>》（</w:t>
      </w:r>
      <w:r>
        <w:rPr>
          <w:rFonts w:ascii="宋体" w:hAnsi="宋体"/>
          <w:szCs w:val="21"/>
        </w:rPr>
        <w:t>20</w:t>
      </w:r>
      <w:r>
        <w:rPr>
          <w:rFonts w:hint="eastAsia" w:ascii="宋体" w:hAnsi="宋体"/>
          <w:szCs w:val="21"/>
        </w:rPr>
        <w:t>17）、《深圳市市政维修工程消耗量标准》（</w:t>
      </w:r>
      <w:r>
        <w:rPr>
          <w:rFonts w:ascii="宋体" w:hAnsi="宋体"/>
          <w:szCs w:val="21"/>
        </w:rPr>
        <w:t>20</w:t>
      </w:r>
      <w:r>
        <w:rPr>
          <w:rFonts w:hint="eastAsia" w:ascii="宋体" w:hAnsi="宋体"/>
          <w:szCs w:val="21"/>
        </w:rPr>
        <w:t>20）、《深圳市园林建筑绿化工程消耗量</w:t>
      </w:r>
      <w:r>
        <w:rPr>
          <w:rFonts w:ascii="宋体" w:hAnsi="宋体"/>
          <w:szCs w:val="21"/>
        </w:rPr>
        <w:t>定额</w:t>
      </w:r>
      <w:r>
        <w:rPr>
          <w:rFonts w:hint="eastAsia" w:ascii="宋体" w:hAnsi="宋体"/>
          <w:szCs w:val="21"/>
        </w:rPr>
        <w:t>》（</w:t>
      </w:r>
      <w:r>
        <w:rPr>
          <w:rFonts w:ascii="宋体" w:hAnsi="宋体"/>
          <w:szCs w:val="21"/>
        </w:rPr>
        <w:t>2017</w:t>
      </w:r>
      <w:r>
        <w:rPr>
          <w:rFonts w:hint="eastAsia" w:ascii="宋体" w:hAnsi="宋体"/>
          <w:szCs w:val="21"/>
        </w:rPr>
        <w:t>）、《深圳市建设</w:t>
      </w:r>
      <w:r>
        <w:rPr>
          <w:rFonts w:ascii="宋体" w:hAnsi="宋体"/>
          <w:szCs w:val="21"/>
        </w:rPr>
        <w:t>工程</w:t>
      </w:r>
      <w:r>
        <w:rPr>
          <w:rFonts w:hint="eastAsia" w:ascii="宋体" w:hAnsi="宋体"/>
          <w:szCs w:val="21"/>
        </w:rPr>
        <w:t>施工机械台班定额》（2014）、其他国家及深圳市现行相关计价依据</w:t>
      </w:r>
      <w:r>
        <w:rPr>
          <w:rFonts w:ascii="宋体" w:hAnsi="宋体"/>
          <w:szCs w:val="21"/>
        </w:rPr>
        <w:t>及相关计价文件及条款</w:t>
      </w:r>
      <w:r>
        <w:rPr>
          <w:rFonts w:hint="eastAsia" w:ascii="宋体" w:hAnsi="宋体"/>
          <w:szCs w:val="21"/>
        </w:rPr>
        <w:t>和</w:t>
      </w:r>
      <w:r>
        <w:rPr>
          <w:rFonts w:ascii="宋体" w:hAnsi="宋体"/>
          <w:szCs w:val="21"/>
        </w:rPr>
        <w:t>会议纪要等。</w:t>
      </w:r>
      <w:r>
        <w:rPr>
          <w:rFonts w:hint="eastAsia" w:ascii="宋体" w:hAnsi="宋体"/>
          <w:szCs w:val="21"/>
        </w:rPr>
        <w:t>国家、行业及工程所在地地方标准、规范存在不一致时，以较高及最新要求的标准、规范为准。如较高与最新不一致的，以最新的标准、规范为准。</w:t>
      </w:r>
    </w:p>
    <w:p w14:paraId="1F0C0AF9">
      <w:pPr>
        <w:widowControl w:val="0"/>
        <w:numPr>
          <w:ilvl w:val="0"/>
          <w:numId w:val="1"/>
        </w:numPr>
        <w:ind w:firstLine="420"/>
        <w:rPr>
          <w:rFonts w:ascii="宋体" w:hAnsi="宋体"/>
          <w:szCs w:val="21"/>
        </w:rPr>
      </w:pPr>
      <w:r>
        <w:rPr>
          <w:rFonts w:hint="eastAsia" w:ascii="宋体" w:hAnsi="宋体"/>
          <w:szCs w:val="21"/>
        </w:rPr>
        <w:t xml:space="preserve">乙方指派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（身份证号码：</w:t>
      </w:r>
      <w:r>
        <w:rPr>
          <w:rFonts w:hint="eastAsia" w:ascii="宋体" w:hAnsi="宋体"/>
          <w:szCs w:val="21"/>
          <w:u w:val="single"/>
          <w:lang w:val="en-US" w:eastAsia="zh-CN"/>
        </w:rPr>
        <w:t xml:space="preserve">      </w:t>
      </w:r>
      <w:r>
        <w:rPr>
          <w:rFonts w:hint="eastAsia" w:ascii="宋体" w:hAnsi="宋体"/>
          <w:szCs w:val="21"/>
          <w:u w:val="single"/>
        </w:rPr>
        <w:t>，联系方式：</w:t>
      </w:r>
      <w:r>
        <w:rPr>
          <w:rFonts w:hint="eastAsia" w:ascii="宋体" w:hAnsi="宋体"/>
          <w:szCs w:val="21"/>
          <w:u w:val="single"/>
          <w:lang w:val="en-US" w:eastAsia="zh-CN"/>
        </w:rPr>
        <w:t xml:space="preserve">      </w:t>
      </w:r>
      <w:r>
        <w:rPr>
          <w:rFonts w:hint="eastAsia" w:ascii="宋体" w:hAnsi="宋体"/>
          <w:szCs w:val="21"/>
          <w:u w:val="single"/>
        </w:rPr>
        <w:t xml:space="preserve"> ） </w:t>
      </w:r>
      <w:r>
        <w:rPr>
          <w:rFonts w:hint="eastAsia" w:ascii="宋体" w:hAnsi="宋体"/>
          <w:szCs w:val="21"/>
        </w:rPr>
        <w:t>工程师负责本项目咨询工作，其主要职责：根据委托合同约定完成本项目的造价咨询审核工作。</w:t>
      </w:r>
    </w:p>
    <w:p w14:paraId="2C0DBD3D">
      <w:pPr>
        <w:ind w:firstLine="420"/>
        <w:rPr>
          <w:rFonts w:ascii="宋体" w:hAnsi="宋体"/>
          <w:szCs w:val="21"/>
        </w:rPr>
      </w:pPr>
      <w:r>
        <w:rPr>
          <w:rFonts w:hint="eastAsia" w:ascii="宋体" w:hAnsi="宋体"/>
          <w:szCs w:val="21"/>
        </w:rPr>
        <w:t>（1）《拟派项目团队人员配置表》需按合同约定建设工程项目造价咨询服务工作组建团队，固定安排除项目负责人以外的</w:t>
      </w:r>
      <w:r>
        <w:rPr>
          <w:rFonts w:hint="eastAsia" w:ascii="宋体" w:hAnsi="宋体"/>
          <w:szCs w:val="21"/>
          <w:u w:val="single"/>
          <w:lang w:val="en-US" w:eastAsia="zh-CN"/>
        </w:rPr>
        <w:t xml:space="preserve">  </w:t>
      </w:r>
      <w:r>
        <w:rPr>
          <w:rFonts w:hint="eastAsia" w:ascii="宋体" w:hAnsi="宋体"/>
          <w:szCs w:val="21"/>
        </w:rPr>
        <w:t>名以上具有项目审核资格的人员（其中注册一级造价工程师不少于</w:t>
      </w:r>
      <w:r>
        <w:rPr>
          <w:rFonts w:hint="eastAsia" w:ascii="宋体" w:hAnsi="宋体"/>
          <w:szCs w:val="21"/>
          <w:u w:val="single"/>
          <w:lang w:val="en-US" w:eastAsia="zh-CN"/>
        </w:rPr>
        <w:t xml:space="preserve">   </w:t>
      </w:r>
      <w:r>
        <w:rPr>
          <w:rFonts w:hint="eastAsia" w:ascii="宋体" w:hAnsi="宋体"/>
          <w:szCs w:val="21"/>
        </w:rPr>
        <w:t>人，建筑专业不少于</w:t>
      </w:r>
      <w:r>
        <w:rPr>
          <w:rFonts w:hint="eastAsia" w:ascii="宋体" w:hAnsi="宋体"/>
          <w:szCs w:val="21"/>
          <w:u w:val="single"/>
          <w:lang w:val="en-US" w:eastAsia="zh-CN"/>
        </w:rPr>
        <w:t xml:space="preserve">   </w:t>
      </w:r>
      <w:r>
        <w:rPr>
          <w:rFonts w:hint="eastAsia" w:ascii="宋体" w:hAnsi="宋体"/>
          <w:szCs w:val="21"/>
        </w:rPr>
        <w:t>名，安装专业不少于</w:t>
      </w:r>
      <w:r>
        <w:rPr>
          <w:rFonts w:hint="eastAsia" w:ascii="宋体" w:hAnsi="宋体"/>
          <w:szCs w:val="21"/>
          <w:u w:val="single"/>
          <w:lang w:val="en-US" w:eastAsia="zh-CN"/>
        </w:rPr>
        <w:t xml:space="preserve">   </w:t>
      </w:r>
      <w:r>
        <w:rPr>
          <w:rFonts w:hint="eastAsia" w:ascii="宋体" w:hAnsi="宋体"/>
          <w:szCs w:val="21"/>
        </w:rPr>
        <w:t>名）。同时根据甲方需求指派1名驻场工程师协助甲方开展工作，要求相关人员需满足中级或以上职称的工程师、须具备大专或以上学历、5年以上工程造价工作经验，需自带电脑等办公设备协助甲方开展相关工作。《拟派项目团队人员配置表》填报所有人员均需为实际现场履约人员，后期必须到场工作、汇报、沟通。项目服务期限内，项目组人员不得变更。</w:t>
      </w:r>
    </w:p>
    <w:p w14:paraId="26218B47">
      <w:pPr>
        <w:ind w:firstLine="420"/>
        <w:rPr>
          <w:rFonts w:ascii="宋体" w:hAnsi="宋体"/>
          <w:b/>
          <w:bCs/>
          <w:szCs w:val="21"/>
        </w:rPr>
      </w:pPr>
      <w:r>
        <w:rPr>
          <w:rFonts w:hint="eastAsia" w:ascii="宋体" w:hAnsi="宋体"/>
          <w:szCs w:val="21"/>
        </w:rPr>
        <w:t>（2</w:t>
      </w:r>
      <w:r>
        <w:rPr>
          <w:rFonts w:ascii="宋体" w:hAnsi="宋体"/>
          <w:szCs w:val="21"/>
        </w:rPr>
        <w:t>）</w:t>
      </w:r>
      <w:r>
        <w:rPr>
          <w:rFonts w:hint="eastAsia" w:ascii="宋体" w:hAnsi="宋体"/>
          <w:szCs w:val="21"/>
        </w:rPr>
        <w:t>乙方驻场人员应经甲方认可，驻场时间从甲方下达的指令开始至本合同内容完成为止，需工作稳定，有长久为本项目服务的决心。</w:t>
      </w:r>
      <w:r>
        <w:rPr>
          <w:rFonts w:hint="eastAsia" w:ascii="宋体" w:hAnsi="宋体"/>
          <w:b/>
          <w:bCs/>
          <w:szCs w:val="21"/>
        </w:rPr>
        <w:t>合同签订后须按指令要求到岗，否则按乙方违约处理，需支付违约金10000元；如未到岗超过14天的，每超过5天处罚5000元（不足5天的，按5天论处）；如累计超过30天未到岗，甲方有权解除合同。同时，对于乙方签订合同直至解除合同期间产生的成本费用（包含但不限于人力成本、履约保函手续费等），甲方不予以承担。</w:t>
      </w:r>
    </w:p>
    <w:p w14:paraId="6FE8EC85">
      <w:pPr>
        <w:ind w:firstLine="420"/>
        <w:rPr>
          <w:rFonts w:ascii="宋体" w:hAnsi="宋体"/>
          <w:szCs w:val="21"/>
        </w:rPr>
      </w:pPr>
      <w:r>
        <w:rPr>
          <w:rFonts w:hint="eastAsia" w:ascii="宋体" w:hAnsi="宋体"/>
          <w:szCs w:val="21"/>
        </w:rPr>
        <w:t>第五条 在合同生效期间，如需变更人员安排，必须提前15个工作日书面上报甲方并经同意方可执行，否则，乙方每违约一次，需支付违约金</w:t>
      </w:r>
      <w:r>
        <w:rPr>
          <w:rFonts w:hint="eastAsia" w:ascii="宋体" w:hAnsi="宋体"/>
          <w:szCs w:val="21"/>
          <w:u w:val="single"/>
        </w:rPr>
        <w:t xml:space="preserve"> 5000元</w:t>
      </w:r>
      <w:r>
        <w:rPr>
          <w:rFonts w:hint="eastAsia" w:ascii="宋体" w:hAnsi="宋体"/>
          <w:szCs w:val="21"/>
        </w:rPr>
        <w:t>。情节严重的将被列入集团供应商黑名单。</w:t>
      </w:r>
    </w:p>
    <w:p w14:paraId="55C6A054">
      <w:pPr>
        <w:ind w:firstLine="420"/>
        <w:rPr>
          <w:rFonts w:ascii="宋体" w:hAnsi="宋体"/>
          <w:szCs w:val="21"/>
        </w:rPr>
      </w:pPr>
      <w:r>
        <w:rPr>
          <w:rFonts w:hint="eastAsia" w:ascii="宋体" w:hAnsi="宋体"/>
          <w:szCs w:val="21"/>
        </w:rPr>
        <w:t xml:space="preserve">第六条 </w:t>
      </w:r>
      <w:r>
        <w:rPr>
          <w:rFonts w:ascii="宋体" w:hAnsi="宋体"/>
          <w:szCs w:val="21"/>
        </w:rPr>
        <w:t xml:space="preserve"> </w:t>
      </w:r>
      <w:r>
        <w:rPr>
          <w:rFonts w:hint="eastAsia" w:ascii="宋体" w:hAnsi="宋体"/>
          <w:szCs w:val="21"/>
        </w:rPr>
        <w:t>乙方</w:t>
      </w:r>
      <w:r>
        <w:rPr>
          <w:rFonts w:ascii="宋体" w:hAnsi="宋体"/>
          <w:szCs w:val="21"/>
        </w:rPr>
        <w:t>应在</w:t>
      </w:r>
      <w:r>
        <w:rPr>
          <w:rFonts w:hint="eastAsia" w:ascii="宋体" w:hAnsi="宋体"/>
          <w:szCs w:val="21"/>
          <w:u w:val="single"/>
        </w:rPr>
        <w:t>3</w:t>
      </w:r>
      <w:r>
        <w:rPr>
          <w:rFonts w:hint="eastAsia" w:ascii="宋体" w:hAnsi="宋体"/>
          <w:szCs w:val="21"/>
        </w:rPr>
        <w:t>日内对甲方及第三人书面提交的要求做出答复的事宜或要求核对做出书面答复或核对。</w:t>
      </w:r>
    </w:p>
    <w:p w14:paraId="400193A7">
      <w:pPr>
        <w:ind w:firstLine="420"/>
        <w:rPr>
          <w:rFonts w:ascii="宋体" w:hAnsi="宋体"/>
          <w:szCs w:val="21"/>
        </w:rPr>
      </w:pPr>
      <w:r>
        <w:rPr>
          <w:rFonts w:hint="eastAsia" w:ascii="宋体" w:hAnsi="宋体"/>
          <w:szCs w:val="21"/>
        </w:rPr>
        <w:t>第七条  本合同需要乙方保密的资料内容和保密时限：乙方在履行本合同的过程中，所接触、知悉或制作的任何关于项目的信息，未经合法公开披露之前均为保密资料。未经甲方书面同意，乙方均无权向任何第三方提供，或用于本合同目的之外的任何其他用途。</w:t>
      </w:r>
    </w:p>
    <w:p w14:paraId="178A3F0B">
      <w:pPr>
        <w:ind w:firstLine="420"/>
        <w:jc w:val="center"/>
        <w:rPr>
          <w:rFonts w:ascii="宋体" w:hAnsi="宋体"/>
          <w:szCs w:val="21"/>
        </w:rPr>
      </w:pPr>
      <w:r>
        <w:rPr>
          <w:rFonts w:hint="eastAsia" w:ascii="宋体" w:hAnsi="宋体"/>
          <w:szCs w:val="21"/>
        </w:rPr>
        <w:t>第九条  双方约定的甲方应提供的建设工程造价咨询资料：</w:t>
      </w:r>
      <w:r>
        <w:rPr>
          <w:rFonts w:hint="eastAsia" w:ascii="宋体" w:hAnsi="宋体"/>
          <w:szCs w:val="21"/>
          <w:u w:val="single"/>
        </w:rPr>
        <w:t xml:space="preserve">   /   </w:t>
      </w:r>
      <w:r>
        <w:rPr>
          <w:rFonts w:hint="eastAsia" w:ascii="宋体" w:hAnsi="宋体"/>
          <w:szCs w:val="21"/>
        </w:rPr>
        <w:t>，提供资料时间</w:t>
      </w:r>
      <w:r>
        <w:rPr>
          <w:rFonts w:hint="eastAsia" w:ascii="宋体" w:hAnsi="宋体"/>
          <w:szCs w:val="21"/>
          <w:u w:val="single"/>
        </w:rPr>
        <w:t xml:space="preserve"> / </w:t>
      </w:r>
      <w:r>
        <w:rPr>
          <w:rFonts w:hint="eastAsia" w:ascii="宋体" w:hAnsi="宋体"/>
          <w:szCs w:val="21"/>
        </w:rPr>
        <w:t>。</w:t>
      </w:r>
    </w:p>
    <w:p w14:paraId="2DA14683">
      <w:pPr>
        <w:ind w:firstLine="420"/>
        <w:rPr>
          <w:rFonts w:ascii="宋体" w:hAnsi="宋体"/>
          <w:szCs w:val="21"/>
        </w:rPr>
      </w:pPr>
      <w:r>
        <w:rPr>
          <w:rFonts w:hint="eastAsia" w:ascii="宋体" w:hAnsi="宋体"/>
          <w:szCs w:val="21"/>
        </w:rPr>
        <w:t>第十条  甲方应在</w:t>
      </w:r>
      <w:r>
        <w:rPr>
          <w:rFonts w:hint="eastAsia" w:ascii="宋体" w:hAnsi="宋体"/>
          <w:szCs w:val="21"/>
          <w:u w:val="single"/>
        </w:rPr>
        <w:t>3</w:t>
      </w:r>
      <w:r>
        <w:rPr>
          <w:rFonts w:hint="eastAsia" w:ascii="宋体" w:hAnsi="宋体"/>
          <w:szCs w:val="21"/>
        </w:rPr>
        <w:t>日内对乙方书面提交并要求做出答复的事宜做出书面答复。</w:t>
      </w:r>
    </w:p>
    <w:p w14:paraId="1F1AEE4D">
      <w:pPr>
        <w:ind w:firstLine="420"/>
        <w:rPr>
          <w:rFonts w:ascii="宋体" w:hAnsi="宋体"/>
          <w:szCs w:val="21"/>
        </w:rPr>
      </w:pPr>
      <w:r>
        <w:rPr>
          <w:rFonts w:hint="eastAsia" w:ascii="宋体" w:hAnsi="宋体"/>
          <w:szCs w:val="21"/>
        </w:rPr>
        <w:t>第十一条  甲方授权的本咨询工作代表</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，其主要职责：</w:t>
      </w:r>
      <w:r>
        <w:rPr>
          <w:rFonts w:hint="eastAsia" w:ascii="宋体" w:hAnsi="宋体"/>
          <w:szCs w:val="21"/>
          <w:u w:val="single"/>
        </w:rPr>
        <w:t>协调委托本工程造价复审成本管理有关事宜。</w:t>
      </w:r>
    </w:p>
    <w:p w14:paraId="6734CA39">
      <w:pPr>
        <w:tabs>
          <w:tab w:val="left" w:pos="720"/>
        </w:tabs>
        <w:ind w:firstLine="420"/>
        <w:rPr>
          <w:rFonts w:ascii="宋体" w:hAnsi="宋体"/>
          <w:szCs w:val="21"/>
        </w:rPr>
      </w:pPr>
      <w:r>
        <w:rPr>
          <w:rFonts w:hint="eastAsia" w:ascii="宋体" w:hAnsi="宋体"/>
          <w:szCs w:val="21"/>
        </w:rPr>
        <w:t>第十四条  因甲方的原因造成乙方增加了额外工作内容的酬金支付：</w:t>
      </w:r>
    </w:p>
    <w:p w14:paraId="6F3EED22">
      <w:pPr>
        <w:tabs>
          <w:tab w:val="left" w:pos="720"/>
        </w:tabs>
        <w:ind w:firstLine="420"/>
        <w:rPr>
          <w:rFonts w:ascii="宋体" w:hAnsi="宋体"/>
          <w:szCs w:val="21"/>
        </w:rPr>
      </w:pPr>
      <w:r>
        <w:rPr>
          <w:rFonts w:hint="eastAsia" w:ascii="宋体" w:hAnsi="宋体"/>
          <w:szCs w:val="21"/>
        </w:rPr>
        <w:t>额外工作内容：</w:t>
      </w:r>
      <w:r>
        <w:rPr>
          <w:rFonts w:hint="eastAsia" w:ascii="宋体" w:hAnsi="宋体"/>
          <w:szCs w:val="21"/>
          <w:u w:val="single"/>
        </w:rPr>
        <w:t xml:space="preserve">   /   </w:t>
      </w:r>
    </w:p>
    <w:p w14:paraId="5C1C17ED">
      <w:pPr>
        <w:tabs>
          <w:tab w:val="left" w:pos="720"/>
        </w:tabs>
        <w:ind w:firstLine="420"/>
        <w:rPr>
          <w:rFonts w:ascii="宋体" w:hAnsi="宋体"/>
          <w:szCs w:val="21"/>
        </w:rPr>
      </w:pPr>
      <w:r>
        <w:rPr>
          <w:rFonts w:hint="eastAsia" w:ascii="宋体" w:hAnsi="宋体"/>
          <w:szCs w:val="21"/>
        </w:rPr>
        <w:t>酬金计算方法及支付：</w:t>
      </w:r>
      <w:r>
        <w:rPr>
          <w:rFonts w:hint="eastAsia" w:ascii="宋体" w:hAnsi="宋体"/>
          <w:szCs w:val="21"/>
          <w:u w:val="single"/>
        </w:rPr>
        <w:t xml:space="preserve">   /  </w:t>
      </w:r>
    </w:p>
    <w:p w14:paraId="3CCED290">
      <w:pPr>
        <w:tabs>
          <w:tab w:val="left" w:pos="720"/>
        </w:tabs>
        <w:ind w:firstLine="420"/>
        <w:rPr>
          <w:rFonts w:ascii="宋体" w:hAnsi="宋体"/>
          <w:szCs w:val="21"/>
        </w:rPr>
      </w:pPr>
      <w:r>
        <w:rPr>
          <w:rFonts w:hint="eastAsia" w:ascii="宋体" w:hAnsi="宋体"/>
          <w:szCs w:val="21"/>
        </w:rPr>
        <w:t>第十八条  乙方向甲方提出赔偿要求不能成立时，补偿甲方因此导致甲方的费用支出：</w:t>
      </w:r>
      <w:r>
        <w:rPr>
          <w:rFonts w:hint="eastAsia" w:ascii="宋体" w:hAnsi="宋体"/>
          <w:szCs w:val="21"/>
          <w:u w:val="single"/>
        </w:rPr>
        <w:t>乙方补偿甲方因此实际支出的所有费用。</w:t>
      </w:r>
    </w:p>
    <w:p w14:paraId="6570B4A1">
      <w:pPr>
        <w:tabs>
          <w:tab w:val="left" w:pos="720"/>
        </w:tabs>
        <w:ind w:firstLine="420"/>
        <w:rPr>
          <w:rFonts w:ascii="宋体" w:hAnsi="宋体"/>
          <w:szCs w:val="21"/>
          <w:u w:val="single"/>
        </w:rPr>
      </w:pPr>
      <w:r>
        <w:rPr>
          <w:rFonts w:hint="eastAsia" w:ascii="宋体" w:hAnsi="宋体"/>
          <w:szCs w:val="21"/>
        </w:rPr>
        <w:t>第二十条  甲方未履行合同约定的义务，应承担的责任：</w:t>
      </w:r>
      <w:r>
        <w:rPr>
          <w:rFonts w:hint="eastAsia" w:ascii="宋体" w:hAnsi="宋体"/>
          <w:szCs w:val="21"/>
          <w:u w:val="single"/>
        </w:rPr>
        <w:t>1、因甲方原因未能按约定时间提供图纸、相关资料，则乙方提交咨询工作成果的时间相应顺延，乙方不得因此向甲方提出任何费用索赔的要求；2、因甲方原因或不可抗力导致合同终止，甲方需支付乙方在合同终止前已完工作应获得的咨询酬金。</w:t>
      </w:r>
    </w:p>
    <w:p w14:paraId="2FCE67EB">
      <w:pPr>
        <w:tabs>
          <w:tab w:val="left" w:pos="720"/>
        </w:tabs>
        <w:ind w:firstLine="420"/>
        <w:rPr>
          <w:rFonts w:ascii="宋体" w:hAnsi="宋体"/>
          <w:szCs w:val="21"/>
          <w:u w:val="single"/>
        </w:rPr>
      </w:pPr>
      <w:r>
        <w:rPr>
          <w:rFonts w:hint="eastAsia" w:ascii="宋体" w:hAnsi="宋体"/>
          <w:szCs w:val="21"/>
        </w:rPr>
        <w:t>第二十一条  甲方向乙方提出赔偿或其他要求不能成立时，补偿因此导致乙方的费用支出：</w:t>
      </w:r>
      <w:r>
        <w:rPr>
          <w:rFonts w:hint="eastAsia" w:ascii="宋体" w:hAnsi="宋体"/>
          <w:szCs w:val="21"/>
          <w:u w:val="single"/>
        </w:rPr>
        <w:t>甲方不予支付和补偿乙方因此实际支出的所有费用。</w:t>
      </w:r>
    </w:p>
    <w:p w14:paraId="1C757DA3">
      <w:pPr>
        <w:tabs>
          <w:tab w:val="left" w:pos="720"/>
        </w:tabs>
        <w:ind w:firstLine="420"/>
        <w:rPr>
          <w:rFonts w:ascii="宋体" w:hAnsi="宋体"/>
          <w:szCs w:val="21"/>
          <w:u w:val="single"/>
        </w:rPr>
      </w:pPr>
      <w:r>
        <w:rPr>
          <w:rFonts w:hint="eastAsia" w:ascii="宋体" w:hAnsi="宋体"/>
          <w:szCs w:val="21"/>
        </w:rPr>
        <w:t>第二十二条  甲方应按以下方式支付乙方的咨询酬金：</w:t>
      </w:r>
      <w:r>
        <w:rPr>
          <w:rFonts w:hint="eastAsia" w:ascii="宋体" w:hAnsi="宋体"/>
          <w:szCs w:val="21"/>
          <w:u w:val="single"/>
        </w:rPr>
        <w:t>由甲方直接支付。</w:t>
      </w:r>
    </w:p>
    <w:p w14:paraId="626192D4">
      <w:pPr>
        <w:ind w:firstLine="420"/>
        <w:rPr>
          <w:rFonts w:ascii="宋体" w:hAnsi="宋体" w:cs="宋体"/>
          <w:szCs w:val="21"/>
        </w:rPr>
      </w:pPr>
      <w:r>
        <w:rPr>
          <w:rFonts w:hint="eastAsia" w:ascii="宋体" w:hAnsi="宋体"/>
          <w:szCs w:val="21"/>
        </w:rPr>
        <w:t>本项目不支付预付款。</w:t>
      </w:r>
    </w:p>
    <w:p w14:paraId="544ACD32">
      <w:pPr>
        <w:autoSpaceDE w:val="0"/>
        <w:autoSpaceDN w:val="0"/>
        <w:adjustRightInd w:val="0"/>
        <w:ind w:firstLine="420"/>
        <w:jc w:val="left"/>
        <w:rPr>
          <w:rFonts w:ascii="宋体" w:hAnsi="宋体"/>
          <w:szCs w:val="21"/>
        </w:rPr>
      </w:pPr>
      <w:r>
        <w:rPr>
          <w:rFonts w:hint="eastAsia" w:ascii="宋体" w:hAnsi="宋体" w:cs="宋体"/>
          <w:szCs w:val="21"/>
        </w:rPr>
        <w:t>（1）咨询服务酬金支付考虑履约考核。</w:t>
      </w:r>
      <w:r>
        <w:rPr>
          <w:rFonts w:hint="eastAsia" w:ascii="宋体" w:hAnsi="宋体"/>
          <w:szCs w:val="21"/>
        </w:rPr>
        <w:t>具体履约评价细则按照甲方建立的履约评价考核制度执行，乙方须无条件接受甲方考评。</w:t>
      </w:r>
    </w:p>
    <w:p w14:paraId="54AECC82">
      <w:pPr>
        <w:ind w:firstLine="420"/>
        <w:rPr>
          <w:rFonts w:ascii="宋体" w:hAnsi="宋体"/>
          <w:szCs w:val="21"/>
        </w:rPr>
      </w:pPr>
      <w:r>
        <w:rPr>
          <w:rFonts w:hint="eastAsia" w:ascii="宋体" w:hAnsi="宋体"/>
          <w:szCs w:val="21"/>
        </w:rPr>
        <w:t>（2）</w:t>
      </w:r>
      <w:r>
        <w:rPr>
          <w:rFonts w:hint="eastAsia" w:ascii="宋体" w:hAnsi="宋体" w:cs="宋体"/>
          <w:szCs w:val="21"/>
        </w:rPr>
        <w:t>咨询服务酬金</w:t>
      </w:r>
      <w:r>
        <w:rPr>
          <w:rFonts w:hint="eastAsia" w:ascii="宋体" w:hAnsi="宋体"/>
          <w:szCs w:val="21"/>
        </w:rPr>
        <w:t>支付时间及比例：</w:t>
      </w:r>
    </w:p>
    <w:p w14:paraId="50E86CCB">
      <w:pPr>
        <w:ind w:firstLine="420"/>
        <w:rPr>
          <w:rFonts w:ascii="宋体" w:hAnsi="宋体"/>
          <w:szCs w:val="21"/>
        </w:rPr>
      </w:pPr>
      <w:r>
        <w:rPr>
          <w:rFonts w:hint="eastAsia" w:ascii="宋体" w:hAnsi="宋体"/>
          <w:szCs w:val="21"/>
        </w:rPr>
        <w:t>乙方每完成甲方部署的单个预、结算复审工作全部内容（以甲方实际派发的业务委托函为准）并提交正式预、结算复审报告，且经交叉审核完（如有）并经甲方验收合格，取得甲方开具的《造价复审成果文件确认单》后，提交符合要求的结算请款资料并开具等额有效税务发票之日起25个工作日内支付至对应业务委托函内容复审工作结算价的100%。</w:t>
      </w:r>
    </w:p>
    <w:p w14:paraId="7FA29237">
      <w:pPr>
        <w:ind w:firstLine="420"/>
        <w:rPr>
          <w:rFonts w:ascii="宋体" w:hAnsi="宋体"/>
          <w:szCs w:val="21"/>
        </w:rPr>
      </w:pPr>
      <w:r>
        <w:rPr>
          <w:rFonts w:hint="eastAsia" w:ascii="宋体" w:hAnsi="宋体"/>
          <w:szCs w:val="21"/>
        </w:rPr>
        <w:t>应支付咨询服务费金额 = 已完单个业务委托函范围内预、结算(审核基础费+审核效益费）*中标折扣率-应扣罚款。</w:t>
      </w:r>
    </w:p>
    <w:p w14:paraId="1AD04C75">
      <w:pPr>
        <w:ind w:firstLine="480" w:firstLineChars="0"/>
        <w:rPr>
          <w:rFonts w:ascii="宋体" w:hAnsi="宋体"/>
          <w:szCs w:val="21"/>
        </w:rPr>
      </w:pPr>
      <w:r>
        <w:rPr>
          <w:rFonts w:ascii="宋体" w:hAnsi="宋体"/>
          <w:szCs w:val="21"/>
        </w:rPr>
        <w:t>1.</w:t>
      </w:r>
      <w:r>
        <w:rPr>
          <w:rFonts w:hint="eastAsia" w:ascii="宋体" w:hAnsi="宋体"/>
          <w:szCs w:val="21"/>
        </w:rPr>
        <w:t>达到支付条件的项目预、结算审核造价咨询服务费，自乙方提供符合约定的发票之日起25日内向乙方全额支付。乙方提交所有合同期限内甲方要求审查的项目成果文件并经甲方验收合格后，结清所有费用。</w:t>
      </w:r>
    </w:p>
    <w:p w14:paraId="4411DD60">
      <w:pPr>
        <w:ind w:firstLine="420" w:firstLineChars="0"/>
        <w:rPr>
          <w:rFonts w:ascii="宋体" w:hAnsi="宋体"/>
          <w:szCs w:val="21"/>
        </w:rPr>
      </w:pPr>
      <w:r>
        <w:rPr>
          <w:rFonts w:ascii="宋体" w:hAnsi="宋体"/>
          <w:szCs w:val="21"/>
        </w:rPr>
        <w:t>2.</w:t>
      </w:r>
      <w:r>
        <w:rPr>
          <w:rFonts w:hint="eastAsia" w:ascii="宋体" w:hAnsi="宋体"/>
          <w:szCs w:val="21"/>
        </w:rPr>
        <w:t>若乙方有违反本合同约定相关责任的，乙方在申请支付当期款项前，应书面确认扣减违约金后，甲方才予以办理支付手续，违约金从当期款项中直接扣减。</w:t>
      </w:r>
    </w:p>
    <w:p w14:paraId="7C66808A">
      <w:pPr>
        <w:ind w:firstLine="420"/>
        <w:jc w:val="left"/>
        <w:rPr>
          <w:rFonts w:ascii="宋体" w:hAnsi="宋体"/>
          <w:szCs w:val="21"/>
        </w:rPr>
      </w:pPr>
      <w:r>
        <w:rPr>
          <w:rFonts w:hint="eastAsia" w:ascii="宋体" w:hAnsi="宋体"/>
          <w:szCs w:val="21"/>
        </w:rPr>
        <w:t>每次付款前，乙方应提交支付等额的合格增值税专用发票，不得使用假发票、套开发票，否则乙方无条件更换发票，并承担票面金额10%的违约金，由此引起甲方的损失的双倍金额赔偿。同时，甲方有权将乙方列为不合格供应商，并保留对其法律责任的追究。若乙方未在本条款约定的时间内向甲方提供规定的发票，甲方付款的期限应当无条件顺延，并不承担由此造成的任何责任和损失。经甲方审核无误后25工作日内支付，因甲方财政拨款问题导致的迟延支付，甲方不承担违约责任。</w:t>
      </w:r>
    </w:p>
    <w:p w14:paraId="035E3814">
      <w:pPr>
        <w:ind w:firstLine="420"/>
        <w:rPr>
          <w:rFonts w:ascii="宋体" w:hAnsi="宋体"/>
          <w:szCs w:val="21"/>
        </w:rPr>
      </w:pPr>
      <w:r>
        <w:rPr>
          <w:rFonts w:hint="eastAsia" w:ascii="宋体" w:hAnsi="宋体"/>
          <w:szCs w:val="21"/>
        </w:rPr>
        <w:t>乙方保证其提供的银行账号真实、合法、有效，甲方向乙方指定的银行账号转入款项后即视为甲方履行完毕付款义务，合同支付方式包括但不限于银行转账、银行承兑汇票、商业承兑汇票等形式。若甲方以银行承兑汇票、商业承兑汇票等票据形式（票据期限不超过三个月，支付比例不超过合同额的30%）向乙方支付工程款时，因票据贴现产生的利息，由乙方承担。乙方开户银行、账号等如有变更，应在当期工程款申请时同步以书面方式通知甲方。如乙方未按合同约定及时通知甲方，由此导致的不利后果及损失均由乙方承担，给甲方造成经济损失的需予以赔偿。</w:t>
      </w:r>
    </w:p>
    <w:p w14:paraId="509A1A2D">
      <w:pPr>
        <w:ind w:firstLine="428"/>
        <w:rPr>
          <w:rFonts w:ascii="宋体" w:hAnsi="宋体"/>
          <w:b/>
          <w:bCs/>
          <w:szCs w:val="21"/>
        </w:rPr>
      </w:pPr>
      <w:r>
        <w:rPr>
          <w:rFonts w:hint="eastAsia" w:ascii="宋体" w:hAnsi="宋体"/>
          <w:b/>
          <w:bCs/>
          <w:szCs w:val="21"/>
        </w:rPr>
        <w:t>乙方开票信息如下：</w:t>
      </w:r>
    </w:p>
    <w:p w14:paraId="42EB120E">
      <w:pPr>
        <w:ind w:firstLine="420"/>
        <w:rPr>
          <w:rFonts w:hint="eastAsia" w:ascii="宋体" w:hAnsi="宋体" w:eastAsia="宋体"/>
          <w:szCs w:val="21"/>
          <w:lang w:eastAsia="zh-CN"/>
        </w:rPr>
      </w:pPr>
      <w:r>
        <w:rPr>
          <w:rFonts w:hint="eastAsia" w:ascii="宋体" w:hAnsi="宋体"/>
          <w:szCs w:val="21"/>
        </w:rPr>
        <w:t>名称：</w:t>
      </w:r>
      <w:r>
        <w:rPr>
          <w:rFonts w:hint="eastAsia"/>
          <w:spacing w:val="-6"/>
          <w:szCs w:val="21"/>
          <w:lang w:eastAsia="zh-CN"/>
        </w:rPr>
        <w:t>深圳市新龙观投资发展有限公司</w:t>
      </w:r>
    </w:p>
    <w:p w14:paraId="4F207788">
      <w:pPr>
        <w:ind w:firstLine="420"/>
        <w:rPr>
          <w:rFonts w:ascii="宋体" w:hAnsi="宋体"/>
          <w:szCs w:val="21"/>
        </w:rPr>
      </w:pPr>
      <w:r>
        <w:rPr>
          <w:rFonts w:hint="eastAsia" w:ascii="宋体" w:hAnsi="宋体"/>
          <w:szCs w:val="21"/>
        </w:rPr>
        <w:t>纳税人识别号：</w:t>
      </w:r>
    </w:p>
    <w:p w14:paraId="2B966B15">
      <w:pPr>
        <w:ind w:firstLine="396"/>
        <w:rPr>
          <w:spacing w:val="-6"/>
          <w:szCs w:val="21"/>
        </w:rPr>
      </w:pPr>
      <w:r>
        <w:rPr>
          <w:rFonts w:hint="eastAsia"/>
          <w:spacing w:val="-6"/>
          <w:szCs w:val="21"/>
        </w:rPr>
        <w:t>开户银行：</w:t>
      </w:r>
    </w:p>
    <w:p w14:paraId="4496D3D4">
      <w:pPr>
        <w:ind w:firstLine="396"/>
        <w:rPr>
          <w:rFonts w:ascii="宋体" w:hAnsi="宋体"/>
          <w:spacing w:val="-6"/>
          <w:szCs w:val="21"/>
        </w:rPr>
      </w:pPr>
      <w:r>
        <w:rPr>
          <w:rFonts w:hint="eastAsia"/>
          <w:spacing w:val="-6"/>
          <w:szCs w:val="21"/>
        </w:rPr>
        <w:t>账号：</w:t>
      </w:r>
    </w:p>
    <w:p w14:paraId="694945A1">
      <w:pPr>
        <w:ind w:firstLine="396"/>
        <w:rPr>
          <w:spacing w:val="-6"/>
          <w:szCs w:val="21"/>
        </w:rPr>
      </w:pPr>
      <w:r>
        <w:rPr>
          <w:rFonts w:hint="eastAsia"/>
          <w:spacing w:val="-6"/>
          <w:szCs w:val="21"/>
        </w:rPr>
        <w:t>地址：深圳市龙华区观湖街道鹭湖社区观盛三路10号龙馨家园A栋2101</w:t>
      </w:r>
    </w:p>
    <w:p w14:paraId="3B01149E">
      <w:pPr>
        <w:ind w:firstLine="396"/>
        <w:rPr>
          <w:rFonts w:hint="default" w:eastAsia="宋体"/>
          <w:spacing w:val="-6"/>
          <w:szCs w:val="21"/>
          <w:lang w:val="en-US" w:eastAsia="zh-CN"/>
        </w:rPr>
      </w:pPr>
      <w:r>
        <w:rPr>
          <w:rFonts w:hint="eastAsia"/>
          <w:spacing w:val="-6"/>
          <w:szCs w:val="21"/>
        </w:rPr>
        <w:t>电话：</w:t>
      </w:r>
      <w:r>
        <w:rPr>
          <w:rFonts w:hint="eastAsia" w:ascii="宋体" w:hAnsi="宋体"/>
          <w:spacing w:val="-6"/>
          <w:szCs w:val="21"/>
        </w:rPr>
        <w:t>0755-</w:t>
      </w:r>
      <w:r>
        <w:rPr>
          <w:rFonts w:hint="eastAsia" w:ascii="宋体" w:hAnsi="宋体"/>
          <w:spacing w:val="-6"/>
          <w:szCs w:val="21"/>
          <w:lang w:val="en-US" w:eastAsia="zh-CN"/>
        </w:rPr>
        <w:t>29809916</w:t>
      </w:r>
    </w:p>
    <w:p w14:paraId="3380D727">
      <w:pPr>
        <w:ind w:firstLine="428"/>
        <w:rPr>
          <w:rFonts w:ascii="宋体" w:hAnsi="宋体"/>
          <w:b/>
          <w:bCs/>
          <w:szCs w:val="21"/>
        </w:rPr>
      </w:pPr>
      <w:r>
        <w:rPr>
          <w:rFonts w:hint="eastAsia" w:ascii="宋体" w:hAnsi="宋体"/>
          <w:b/>
          <w:bCs/>
          <w:szCs w:val="21"/>
        </w:rPr>
        <w:t>乙方指定收款信息如下：</w:t>
      </w:r>
    </w:p>
    <w:p w14:paraId="70CAC044">
      <w:pPr>
        <w:ind w:firstLine="420"/>
        <w:rPr>
          <w:rFonts w:ascii="宋体" w:hAnsi="宋体"/>
          <w:szCs w:val="21"/>
        </w:rPr>
      </w:pPr>
      <w:r>
        <w:rPr>
          <w:rFonts w:hint="eastAsia" w:ascii="宋体" w:hAnsi="宋体"/>
          <w:szCs w:val="21"/>
        </w:rPr>
        <w:t>名称：</w:t>
      </w:r>
      <w:r>
        <w:rPr>
          <w:rFonts w:hint="eastAsia" w:ascii="宋体" w:hAnsi="宋体"/>
          <w:bCs/>
          <w:szCs w:val="21"/>
          <w:lang w:eastAsia="zh-CN"/>
        </w:rPr>
        <w:t>XXXX</w:t>
      </w:r>
      <w:r>
        <w:rPr>
          <w:rFonts w:hint="eastAsia" w:ascii="宋体" w:hAnsi="宋体"/>
          <w:bCs/>
          <w:szCs w:val="21"/>
        </w:rPr>
        <w:t>有限公司</w:t>
      </w:r>
    </w:p>
    <w:p w14:paraId="2D3EED63">
      <w:pPr>
        <w:ind w:firstLine="420"/>
        <w:rPr>
          <w:rFonts w:hint="eastAsia" w:ascii="宋体" w:hAnsi="宋体" w:eastAsia="宋体"/>
          <w:szCs w:val="21"/>
          <w:u w:val="single"/>
          <w:lang w:eastAsia="zh-CN"/>
        </w:rPr>
      </w:pPr>
      <w:r>
        <w:rPr>
          <w:rFonts w:hint="eastAsia" w:ascii="宋体" w:hAnsi="宋体"/>
          <w:szCs w:val="21"/>
        </w:rPr>
        <w:t>开户银行：</w:t>
      </w:r>
      <w:r>
        <w:rPr>
          <w:rFonts w:hint="eastAsia" w:ascii="宋体" w:hAnsi="宋体"/>
          <w:bCs/>
          <w:szCs w:val="21"/>
          <w:u w:val="single"/>
          <w:lang w:val="en-US" w:eastAsia="zh-CN"/>
        </w:rPr>
        <w:t xml:space="preserve"> </w:t>
      </w:r>
    </w:p>
    <w:p w14:paraId="6225AC08">
      <w:pPr>
        <w:ind w:firstLine="420"/>
        <w:rPr>
          <w:rFonts w:hint="eastAsia" w:ascii="宋体" w:hAnsi="宋体" w:eastAsia="宋体"/>
          <w:szCs w:val="21"/>
          <w:u w:val="single"/>
          <w:lang w:eastAsia="zh-CN"/>
        </w:rPr>
      </w:pPr>
      <w:r>
        <w:rPr>
          <w:rFonts w:hint="eastAsia" w:ascii="宋体" w:hAnsi="宋体"/>
          <w:szCs w:val="21"/>
        </w:rPr>
        <w:t>账号：</w:t>
      </w:r>
      <w:r>
        <w:rPr>
          <w:rFonts w:hint="eastAsia" w:ascii="宋体" w:hAnsi="宋体"/>
          <w:bCs/>
          <w:szCs w:val="21"/>
          <w:u w:val="single"/>
          <w:lang w:val="en-US" w:eastAsia="zh-CN"/>
        </w:rPr>
        <w:t xml:space="preserve"> </w:t>
      </w:r>
    </w:p>
    <w:p w14:paraId="5A458A2B">
      <w:pPr>
        <w:ind w:firstLine="420"/>
        <w:rPr>
          <w:rFonts w:ascii="宋体" w:hAnsi="宋体"/>
          <w:szCs w:val="21"/>
        </w:rPr>
      </w:pPr>
      <w:r>
        <w:rPr>
          <w:rFonts w:hint="eastAsia" w:ascii="宋体" w:hAnsi="宋体"/>
          <w:szCs w:val="21"/>
        </w:rPr>
        <w:t>第二十四条  甲方如果对乙方提交的支付通知书中酬金或部分酬金项目提出异议，应当在收到支付通知书后14日内向乙方发出异议的通知；如果逾期未发出通知的，不视为对异议部分的认可，酬金支付以甲方审批结果或相关主管部门审计结果为准。</w:t>
      </w:r>
    </w:p>
    <w:p w14:paraId="38D2769A">
      <w:pPr>
        <w:ind w:firstLine="420"/>
        <w:rPr>
          <w:rFonts w:ascii="宋体" w:hAnsi="宋体"/>
          <w:szCs w:val="21"/>
        </w:rPr>
      </w:pPr>
      <w:r>
        <w:rPr>
          <w:rFonts w:hint="eastAsia" w:ascii="宋体" w:hAnsi="宋体"/>
          <w:szCs w:val="21"/>
        </w:rPr>
        <w:t>第二十五条  双方同意用 人民币 支付酬金，按</w:t>
      </w:r>
      <w:r>
        <w:rPr>
          <w:rFonts w:hint="eastAsia" w:ascii="宋体" w:hAnsi="宋体"/>
          <w:szCs w:val="21"/>
          <w:u w:val="single"/>
        </w:rPr>
        <w:t xml:space="preserve">   /    </w:t>
      </w:r>
      <w:r>
        <w:rPr>
          <w:rFonts w:hint="eastAsia" w:ascii="宋体" w:hAnsi="宋体"/>
          <w:szCs w:val="21"/>
        </w:rPr>
        <w:t>汇率计付。</w:t>
      </w:r>
    </w:p>
    <w:p w14:paraId="7D1CC9C2">
      <w:pPr>
        <w:ind w:firstLine="420"/>
        <w:rPr>
          <w:rFonts w:ascii="宋体" w:hAnsi="宋体"/>
          <w:szCs w:val="21"/>
        </w:rPr>
      </w:pPr>
      <w:r>
        <w:rPr>
          <w:rFonts w:hint="eastAsia" w:ascii="宋体" w:hAnsi="宋体"/>
          <w:szCs w:val="21"/>
        </w:rPr>
        <w:t>第二十八条  修订为：</w:t>
      </w:r>
    </w:p>
    <w:p w14:paraId="5475132F">
      <w:pPr>
        <w:ind w:firstLine="420"/>
        <w:rPr>
          <w:rFonts w:ascii="宋体" w:hAnsi="宋体"/>
          <w:szCs w:val="21"/>
        </w:rPr>
      </w:pPr>
      <w:r>
        <w:rPr>
          <w:rFonts w:hint="eastAsia" w:ascii="宋体" w:hAnsi="宋体"/>
          <w:szCs w:val="21"/>
        </w:rPr>
        <w:t>乙方有下列情形之一的，甲方可以提前解除本合同：</w:t>
      </w:r>
    </w:p>
    <w:p w14:paraId="2A6DC7B8">
      <w:pPr>
        <w:ind w:firstLine="420"/>
        <w:rPr>
          <w:rFonts w:ascii="宋体" w:hAnsi="宋体"/>
          <w:szCs w:val="21"/>
        </w:rPr>
      </w:pPr>
      <w:r>
        <w:rPr>
          <w:rFonts w:hint="eastAsia" w:ascii="宋体" w:hAnsi="宋体"/>
          <w:szCs w:val="21"/>
        </w:rPr>
        <w:t>1.转让合同约定的权利和义务；</w:t>
      </w:r>
    </w:p>
    <w:p w14:paraId="5093A8EC">
      <w:pPr>
        <w:ind w:firstLine="420"/>
        <w:rPr>
          <w:rFonts w:ascii="宋体" w:hAnsi="宋体"/>
          <w:szCs w:val="21"/>
        </w:rPr>
      </w:pPr>
      <w:r>
        <w:rPr>
          <w:rFonts w:hint="eastAsia" w:ascii="宋体" w:hAnsi="宋体"/>
          <w:szCs w:val="21"/>
        </w:rPr>
        <w:t>2.参与甲方利益相冲突的任何活动；</w:t>
      </w:r>
    </w:p>
    <w:p w14:paraId="4BC43FB9">
      <w:pPr>
        <w:ind w:firstLine="420"/>
        <w:rPr>
          <w:rFonts w:ascii="宋体" w:hAnsi="宋体"/>
          <w:szCs w:val="21"/>
        </w:rPr>
      </w:pPr>
      <w:r>
        <w:rPr>
          <w:rFonts w:hint="eastAsia" w:ascii="宋体" w:hAnsi="宋体"/>
          <w:szCs w:val="21"/>
        </w:rPr>
        <w:t>3.同时接受甲方和施工单位对同一工程项目的工程造价咨询业务；</w:t>
      </w:r>
    </w:p>
    <w:p w14:paraId="42CD7BD1">
      <w:pPr>
        <w:ind w:firstLine="420"/>
        <w:rPr>
          <w:rFonts w:ascii="宋体" w:hAnsi="宋体"/>
          <w:szCs w:val="21"/>
        </w:rPr>
      </w:pPr>
      <w:r>
        <w:rPr>
          <w:rFonts w:hint="eastAsia" w:ascii="宋体" w:hAnsi="宋体"/>
          <w:szCs w:val="21"/>
        </w:rPr>
        <w:t>4.由于乙方原因，复审造价与有关单位审定价的误差超过造价的10%或其中漏计项目的造价超过总造价的5%；</w:t>
      </w:r>
    </w:p>
    <w:p w14:paraId="6013D212">
      <w:pPr>
        <w:ind w:firstLine="420"/>
        <w:rPr>
          <w:rFonts w:ascii="宋体" w:hAnsi="宋体"/>
          <w:szCs w:val="21"/>
        </w:rPr>
      </w:pPr>
      <w:r>
        <w:rPr>
          <w:rFonts w:hint="eastAsia" w:ascii="宋体" w:hAnsi="宋体"/>
          <w:szCs w:val="21"/>
        </w:rPr>
        <w:t>5.由于乙方原因，复审造价与有关单位审定价的误差超过造价的5%；</w:t>
      </w:r>
    </w:p>
    <w:p w14:paraId="736EF1E0">
      <w:pPr>
        <w:ind w:firstLine="420"/>
        <w:rPr>
          <w:rFonts w:ascii="宋体" w:hAnsi="宋体"/>
          <w:szCs w:val="21"/>
        </w:rPr>
      </w:pPr>
      <w:r>
        <w:rPr>
          <w:rFonts w:hint="eastAsia" w:ascii="宋体" w:hAnsi="宋体"/>
          <w:szCs w:val="21"/>
        </w:rPr>
        <w:t>6.未经甲方书面同意更换项目负责人及项目组成员；</w:t>
      </w:r>
    </w:p>
    <w:p w14:paraId="02420974">
      <w:pPr>
        <w:ind w:firstLine="420"/>
        <w:rPr>
          <w:rFonts w:ascii="宋体" w:hAnsi="宋体"/>
          <w:szCs w:val="21"/>
        </w:rPr>
      </w:pPr>
      <w:r>
        <w:rPr>
          <w:rFonts w:hint="eastAsia" w:ascii="宋体" w:hAnsi="宋体"/>
          <w:szCs w:val="21"/>
        </w:rPr>
        <w:t>7.因乙方单方原因，造成提交任何一项结果文件拖延时间达20天及以上。</w:t>
      </w:r>
    </w:p>
    <w:p w14:paraId="3A7149FC">
      <w:pPr>
        <w:ind w:firstLine="420"/>
        <w:rPr>
          <w:rFonts w:ascii="宋体" w:hAnsi="宋体"/>
          <w:szCs w:val="21"/>
        </w:rPr>
      </w:pPr>
      <w:r>
        <w:rPr>
          <w:rFonts w:hint="eastAsia" w:ascii="宋体" w:hAnsi="宋体"/>
          <w:szCs w:val="21"/>
        </w:rPr>
        <w:t>乙方出现上述情形的，甲方除可解除合同（不补偿乙方任何损失）、追究违约责任外，还有权拒绝乙方本年度及下年度参与甲方的其他造价咨询业务招投标活动。</w:t>
      </w:r>
    </w:p>
    <w:p w14:paraId="27300DC9">
      <w:pPr>
        <w:ind w:firstLine="420"/>
        <w:rPr>
          <w:rFonts w:ascii="宋体" w:hAnsi="宋体"/>
          <w:szCs w:val="21"/>
        </w:rPr>
      </w:pPr>
      <w:r>
        <w:rPr>
          <w:rFonts w:hint="eastAsia" w:ascii="宋体" w:hAnsi="宋体"/>
          <w:szCs w:val="21"/>
        </w:rPr>
        <w:t>除本合同约定及法律规定之外，任何一方未经对方书面同意不得擅自变更或解除合同，否则应承担违约责任并赔偿对方损失。</w:t>
      </w:r>
    </w:p>
    <w:p w14:paraId="798D9C33">
      <w:pPr>
        <w:ind w:firstLine="420"/>
        <w:jc w:val="left"/>
        <w:rPr>
          <w:rFonts w:ascii="宋体" w:hAnsi="宋体"/>
          <w:b/>
          <w:bCs/>
          <w:sz w:val="36"/>
          <w:szCs w:val="36"/>
        </w:rPr>
      </w:pPr>
      <w:r>
        <w:rPr>
          <w:rFonts w:hint="eastAsia" w:ascii="宋体" w:hAnsi="宋体"/>
          <w:szCs w:val="21"/>
        </w:rPr>
        <w:t xml:space="preserve"> 第三十五条  本合同在履行过程中如果发生争议，甲方与乙方应及时协商解决；如协商未能达成一致，可提交有关主管部门调解；协商或调解不成的，向甲方所在地的人民法院提起诉讼。</w:t>
      </w:r>
      <w:r>
        <w:rPr>
          <w:rFonts w:ascii="宋体" w:hAnsi="宋体"/>
          <w:b/>
          <w:bCs/>
          <w:sz w:val="36"/>
          <w:szCs w:val="36"/>
        </w:rPr>
        <w:br w:type="page"/>
      </w:r>
    </w:p>
    <w:p w14:paraId="48AE5BF8">
      <w:pPr>
        <w:ind w:firstLine="734"/>
        <w:jc w:val="center"/>
        <w:rPr>
          <w:rFonts w:ascii="宋体" w:hAnsi="宋体"/>
          <w:b/>
          <w:bCs/>
          <w:sz w:val="36"/>
          <w:szCs w:val="36"/>
        </w:rPr>
      </w:pPr>
      <w:r>
        <w:rPr>
          <w:rFonts w:hint="eastAsia" w:ascii="宋体" w:hAnsi="宋体"/>
          <w:b/>
          <w:sz w:val="36"/>
          <w:szCs w:val="36"/>
        </w:rPr>
        <w:t xml:space="preserve">第四部分 </w:t>
      </w:r>
      <w:r>
        <w:rPr>
          <w:rFonts w:hint="eastAsia" w:ascii="宋体" w:hAnsi="宋体"/>
          <w:b/>
          <w:bCs/>
          <w:sz w:val="36"/>
          <w:szCs w:val="36"/>
        </w:rPr>
        <w:t>补充条款</w:t>
      </w:r>
    </w:p>
    <w:p w14:paraId="640B1448">
      <w:pPr>
        <w:ind w:firstLine="420"/>
        <w:rPr>
          <w:rFonts w:ascii="宋体" w:hAnsi="宋体"/>
          <w:szCs w:val="21"/>
        </w:rPr>
      </w:pPr>
      <w:r>
        <w:rPr>
          <w:rFonts w:hint="eastAsia" w:ascii="宋体" w:hAnsi="宋体"/>
          <w:szCs w:val="21"/>
        </w:rPr>
        <w:t>1.乙方应严格按《深圳市建设工程造价管理规定》（深圳市人民政府令第240号）等国家、省、市相关法规从事本项目造价咨询服务，严禁转包、出租、出借、挂靠等违法行为。出现上述问题，甲方有权终止合同并报政府相关主管部门处理，列入黑名单、禁止其三年内从事甲方相关造价咨询服务。并由乙方承担相当于合同总价50%的违约金，对甲方造成损失的乙方还应当赔偿。</w:t>
      </w:r>
    </w:p>
    <w:p w14:paraId="1815EA2C">
      <w:pPr>
        <w:ind w:firstLine="420"/>
        <w:rPr>
          <w:rFonts w:ascii="宋体" w:hAnsi="宋体"/>
          <w:szCs w:val="21"/>
        </w:rPr>
      </w:pPr>
      <w:r>
        <w:rPr>
          <w:rFonts w:hint="eastAsia" w:ascii="宋体" w:hAnsi="宋体"/>
          <w:szCs w:val="21"/>
        </w:rPr>
        <w:t>2.本合同内的咨询业务只计一次咨询费，咨询业务中的修改和调整不另行计费。在造价咨询服务过程中，对于甲方和相关管理部门提出的修改意见，乙方应在甲方规定的时间内无偿配合完成。</w:t>
      </w:r>
    </w:p>
    <w:p w14:paraId="1BC54F90">
      <w:pPr>
        <w:ind w:firstLine="420"/>
        <w:rPr>
          <w:rFonts w:ascii="宋体" w:hAnsi="宋体"/>
          <w:szCs w:val="21"/>
        </w:rPr>
      </w:pPr>
      <w:r>
        <w:rPr>
          <w:rFonts w:hint="eastAsia" w:ascii="宋体" w:hAnsi="宋体"/>
          <w:szCs w:val="21"/>
        </w:rPr>
        <w:t xml:space="preserve">3.因工程造价咨询业务的需要，乙方外出考察，其费用由乙方承担。 </w:t>
      </w:r>
    </w:p>
    <w:p w14:paraId="7B89F5EA">
      <w:pPr>
        <w:ind w:firstLine="420"/>
        <w:rPr>
          <w:rFonts w:ascii="宋体" w:hAnsi="宋体"/>
          <w:szCs w:val="21"/>
        </w:rPr>
      </w:pPr>
      <w:r>
        <w:rPr>
          <w:rFonts w:hint="eastAsia" w:ascii="宋体" w:hAnsi="宋体"/>
          <w:szCs w:val="21"/>
        </w:rPr>
        <w:t>4.乙方如需外聘专家协助，费用由乙方承担。</w:t>
      </w:r>
    </w:p>
    <w:p w14:paraId="76AC1175">
      <w:pPr>
        <w:ind w:firstLine="420"/>
        <w:rPr>
          <w:rFonts w:ascii="宋体" w:hAnsi="宋体"/>
          <w:szCs w:val="21"/>
        </w:rPr>
      </w:pPr>
      <w:r>
        <w:rPr>
          <w:rFonts w:hint="eastAsia" w:ascii="宋体" w:hAnsi="宋体"/>
          <w:szCs w:val="21"/>
        </w:rPr>
        <w:t>5.乙方应保证各阶段配备的各专业人员满足咨询服务的需求，驻场人员的费用包括在合同价内，如甲方项目部根据工程重要性、技术复杂程度、预计变更及工期等实际情况，要求乙方增加驻工地人员的，乙方应积极配合增派人员，由此产生的费用由乙方承担。</w:t>
      </w:r>
    </w:p>
    <w:p w14:paraId="4226B4A8">
      <w:pPr>
        <w:ind w:firstLine="420"/>
        <w:rPr>
          <w:rFonts w:ascii="宋体" w:hAnsi="宋体"/>
          <w:szCs w:val="21"/>
        </w:rPr>
      </w:pPr>
      <w:r>
        <w:rPr>
          <w:rFonts w:hint="eastAsia" w:ascii="宋体" w:hAnsi="宋体"/>
          <w:szCs w:val="21"/>
        </w:rPr>
        <w:t>6.由于非乙方的原因使乙方工作受到阻碍或延误以致增加了工作量或持续时间，除完成建设工程造价咨询工作的时间相应延长外，不计算任何附加服务酬金或额外服务酬金。乙方由于非自身原因暂停或终止执行建设工程造价咨询业务，当乙方恢复执行建设工程造价咨询业务时，除完成建设工程造价咨询工作的时间相应延长外，亦不计算任何附加服务酬金或额外服务酬金。</w:t>
      </w:r>
    </w:p>
    <w:p w14:paraId="61ED744F">
      <w:pPr>
        <w:ind w:firstLine="420"/>
        <w:rPr>
          <w:rFonts w:ascii="宋体" w:hAnsi="宋体"/>
          <w:szCs w:val="21"/>
        </w:rPr>
      </w:pPr>
      <w:r>
        <w:rPr>
          <w:rFonts w:hint="eastAsia" w:ascii="宋体" w:hAnsi="宋体"/>
          <w:szCs w:val="21"/>
        </w:rPr>
        <w:t>7.按照本合同约定，及时、准确地提交咨询工作成果；造价审核向甲方提供专业的、客观的造价咨询意见，详述本工程造价咨询工作的进展、存在的问题以及解决方案等。</w:t>
      </w:r>
    </w:p>
    <w:p w14:paraId="6D93EE63">
      <w:pPr>
        <w:ind w:firstLine="420"/>
        <w:rPr>
          <w:rFonts w:ascii="宋体" w:hAnsi="宋体"/>
          <w:szCs w:val="21"/>
        </w:rPr>
      </w:pPr>
      <w:r>
        <w:rPr>
          <w:rFonts w:hint="eastAsia" w:ascii="宋体" w:hAnsi="宋体"/>
          <w:szCs w:val="21"/>
        </w:rPr>
        <w:t>8.甲方提交的图纸资料中若有不清、不详、不完整等问题，乙方应及时以书面形式通知甲方，否则由此造成的错计、漏计由乙方负责。</w:t>
      </w:r>
    </w:p>
    <w:p w14:paraId="5F2D3730">
      <w:pPr>
        <w:ind w:firstLine="420"/>
        <w:rPr>
          <w:rFonts w:ascii="宋体" w:hAnsi="宋体"/>
          <w:szCs w:val="21"/>
        </w:rPr>
      </w:pPr>
      <w:r>
        <w:rPr>
          <w:rFonts w:hint="eastAsia" w:ascii="宋体" w:hAnsi="宋体"/>
          <w:szCs w:val="21"/>
        </w:rPr>
        <w:t>9.甲方按照合同规定的支付期限内办理支付建设工程造价咨询酬金手续，因甲方办事程序导致酬金支付时间延迟的，乙方应予谅解，不视为甲方违约，乙方应当继续全面履行合同。</w:t>
      </w:r>
    </w:p>
    <w:p w14:paraId="64AB0394">
      <w:pPr>
        <w:ind w:firstLine="315" w:firstLineChars="150"/>
        <w:rPr>
          <w:rFonts w:ascii="宋体" w:hAnsi="宋体"/>
          <w:szCs w:val="21"/>
        </w:rPr>
      </w:pPr>
      <w:r>
        <w:rPr>
          <w:rFonts w:hint="eastAsia" w:ascii="宋体" w:hAnsi="宋体"/>
          <w:szCs w:val="21"/>
        </w:rPr>
        <w:t>10.乙方无正当理由未完成咨询工作时，乙方承担的违约责任及甲方支付咨询酬金的方式：不收取任何酬金并赔偿甲方的相关损失，已收取的咨询酬金需退还甲方，且应按合同总价20%向甲方支付违约金，违约金不足以弥补甲方损失的，乙方应进一步补足。</w:t>
      </w:r>
    </w:p>
    <w:p w14:paraId="0FB52820">
      <w:pPr>
        <w:ind w:firstLine="315" w:firstLineChars="150"/>
        <w:rPr>
          <w:rFonts w:ascii="宋体" w:hAnsi="宋体"/>
          <w:szCs w:val="21"/>
        </w:rPr>
      </w:pPr>
      <w:r>
        <w:rPr>
          <w:rFonts w:hint="eastAsia" w:ascii="宋体" w:hAnsi="宋体"/>
          <w:szCs w:val="21"/>
        </w:rPr>
        <w:t>11.在合同履行期间，甲方要求终止或解除合同，乙方尚未开始咨询工作的，乙方向甲方退还已支付的酬金；已经开始咨询工作的，根据实际已经完成工作量占全部工作量的百分比收取酬金，除此之外，甲方不向乙方承担其他的经济赔偿（包括所发生的费用和损失）。</w:t>
      </w:r>
    </w:p>
    <w:p w14:paraId="33D1018F">
      <w:pPr>
        <w:ind w:firstLine="420"/>
        <w:rPr>
          <w:rFonts w:ascii="宋体" w:hAnsi="宋体"/>
          <w:szCs w:val="21"/>
        </w:rPr>
      </w:pPr>
      <w:r>
        <w:rPr>
          <w:rFonts w:hint="eastAsia" w:ascii="宋体" w:hAnsi="宋体"/>
          <w:szCs w:val="21"/>
        </w:rPr>
        <w:t>12.合同生效后，乙方要求终止或解除合同，已收取的咨询酬金需退还甲方，且应按合同总价20%向甲方支付违约金，违约金不足以弥补甲方损失的，乙方应进一步补足。</w:t>
      </w:r>
    </w:p>
    <w:p w14:paraId="74358BAF">
      <w:pPr>
        <w:ind w:firstLine="420"/>
        <w:rPr>
          <w:rFonts w:ascii="宋体" w:hAnsi="宋体"/>
          <w:szCs w:val="21"/>
        </w:rPr>
      </w:pPr>
      <w:r>
        <w:rPr>
          <w:rFonts w:hint="eastAsia" w:ascii="宋体" w:hAnsi="宋体"/>
          <w:szCs w:val="21"/>
        </w:rPr>
        <w:t>13.乙方在工作过程中若发生以下问题，甲方可立即解除合同，要求乙方退还已收取酬金，赔偿损失并支付违约金10万元/次：</w:t>
      </w:r>
    </w:p>
    <w:p w14:paraId="453CB661">
      <w:pPr>
        <w:ind w:firstLine="315" w:firstLineChars="150"/>
        <w:rPr>
          <w:rFonts w:ascii="宋体" w:hAnsi="宋体"/>
          <w:szCs w:val="21"/>
        </w:rPr>
      </w:pPr>
      <w:r>
        <w:rPr>
          <w:rFonts w:hint="eastAsia" w:ascii="宋体" w:hAnsi="宋体"/>
          <w:szCs w:val="21"/>
        </w:rPr>
        <w:t>（1）违反法律法规和工程建设强制性标准的；</w:t>
      </w:r>
    </w:p>
    <w:p w14:paraId="452D802E">
      <w:pPr>
        <w:ind w:firstLine="315" w:firstLineChars="150"/>
        <w:rPr>
          <w:rFonts w:ascii="宋体" w:hAnsi="宋体"/>
          <w:szCs w:val="21"/>
        </w:rPr>
      </w:pPr>
      <w:r>
        <w:rPr>
          <w:rFonts w:hint="eastAsia" w:ascii="宋体" w:hAnsi="宋体"/>
          <w:szCs w:val="21"/>
        </w:rPr>
        <w:t>（2）拒不执行甲方指令或欺骗甲方；</w:t>
      </w:r>
    </w:p>
    <w:p w14:paraId="7D9B2F7C">
      <w:pPr>
        <w:ind w:firstLine="315" w:firstLineChars="150"/>
        <w:rPr>
          <w:rFonts w:ascii="宋体" w:hAnsi="宋体"/>
          <w:szCs w:val="21"/>
        </w:rPr>
      </w:pPr>
      <w:r>
        <w:rPr>
          <w:rFonts w:hint="eastAsia" w:ascii="宋体" w:hAnsi="宋体"/>
          <w:szCs w:val="21"/>
        </w:rPr>
        <w:t>（3）违反独立性原则，与设计、或勘察单位、或施工单位、或监理单位等串通损害甲方利益的；</w:t>
      </w:r>
    </w:p>
    <w:p w14:paraId="4579B2E4">
      <w:pPr>
        <w:ind w:firstLine="315" w:firstLineChars="150"/>
        <w:rPr>
          <w:rFonts w:ascii="宋体" w:hAnsi="宋体"/>
          <w:szCs w:val="21"/>
        </w:rPr>
      </w:pPr>
      <w:r>
        <w:rPr>
          <w:rFonts w:hint="eastAsia" w:ascii="宋体" w:hAnsi="宋体"/>
          <w:szCs w:val="21"/>
        </w:rPr>
        <w:t>（4）其它严重违约行为。</w:t>
      </w:r>
    </w:p>
    <w:p w14:paraId="68D09EA1">
      <w:pPr>
        <w:ind w:firstLine="420"/>
        <w:jc w:val="left"/>
        <w:rPr>
          <w:rFonts w:ascii="宋体" w:hAnsi="宋体"/>
          <w:szCs w:val="21"/>
        </w:rPr>
      </w:pPr>
      <w:r>
        <w:rPr>
          <w:rFonts w:hint="eastAsia" w:ascii="宋体" w:hAnsi="宋体"/>
          <w:szCs w:val="21"/>
        </w:rPr>
        <w:t>14.乙方应当履行本合同约定的义务，造价文件必须达到本合同约定的质量要求。若因乙方的原因，造价文件未达到要求的，甲方按以下约定予以违约处罚；任何因乙方原因而造成交付给甲方的审核成果有重大错误的，除应按约定承担违约金外，甲方还有权向乙方追索一切损失，该损失并不以乙方实际取得的报酬为限；同时甲方有权立即解除合同。</w:t>
      </w:r>
    </w:p>
    <w:p w14:paraId="26628378">
      <w:pPr>
        <w:ind w:firstLine="428"/>
        <w:rPr>
          <w:rFonts w:ascii="宋体" w:hAnsi="宋体"/>
          <w:b/>
          <w:bCs/>
          <w:szCs w:val="21"/>
        </w:rPr>
      </w:pPr>
      <w:r>
        <w:rPr>
          <w:rFonts w:hint="eastAsia" w:ascii="宋体" w:hAnsi="宋体"/>
          <w:b/>
          <w:bCs/>
          <w:szCs w:val="21"/>
        </w:rPr>
        <w:t>违约处罚约定：经交叉审核后，超过“《协议书》第十条各阶段提交咨询成果的时限及准确性要求”条款要求的误差范围，按超出范围金额</w:t>
      </w:r>
      <w:r>
        <w:rPr>
          <w:rFonts w:hint="eastAsia" w:ascii="宋体" w:hAnsi="宋体"/>
          <w:b/>
          <w:bCs/>
        </w:rPr>
        <w:t>的2%</w:t>
      </w:r>
      <w:r>
        <w:rPr>
          <w:rFonts w:hint="eastAsia" w:ascii="宋体" w:hAnsi="宋体"/>
          <w:b/>
          <w:bCs/>
          <w:szCs w:val="21"/>
        </w:rPr>
        <w:t>支付违约金</w:t>
      </w:r>
      <w:r>
        <w:rPr>
          <w:rFonts w:hint="eastAsia" w:ascii="宋体" w:hAnsi="宋体"/>
          <w:b/>
          <w:bCs/>
        </w:rPr>
        <w:t>。违约金从当期支付款中扣除。</w:t>
      </w:r>
    </w:p>
    <w:p w14:paraId="2C5A6B89">
      <w:pPr>
        <w:tabs>
          <w:tab w:val="left" w:pos="720"/>
        </w:tabs>
        <w:ind w:firstLine="420"/>
        <w:rPr>
          <w:rFonts w:ascii="宋体" w:hAnsi="宋体"/>
          <w:szCs w:val="21"/>
        </w:rPr>
      </w:pPr>
      <w:r>
        <w:rPr>
          <w:rFonts w:hint="eastAsia" w:ascii="宋体" w:hAnsi="宋体"/>
          <w:szCs w:val="21"/>
        </w:rPr>
        <w:t>15.因乙方原因不能按照合同约定向甲方要求按时提交咨询工作成果，每延迟一天，应向甲方支付违约金人民币0.</w:t>
      </w:r>
      <w:r>
        <w:rPr>
          <w:rFonts w:ascii="宋体" w:hAnsi="宋体"/>
          <w:szCs w:val="21"/>
        </w:rPr>
        <w:t>5</w:t>
      </w:r>
      <w:r>
        <w:rPr>
          <w:rFonts w:hint="eastAsia" w:ascii="宋体" w:hAnsi="宋体"/>
          <w:szCs w:val="21"/>
        </w:rPr>
        <w:t>万元；延迟超过20天的，甲方有权解除合同，并要求乙方赔偿甲方的经济损失。</w:t>
      </w:r>
    </w:p>
    <w:p w14:paraId="23DC318D">
      <w:pPr>
        <w:tabs>
          <w:tab w:val="left" w:pos="720"/>
        </w:tabs>
        <w:ind w:firstLine="420"/>
        <w:rPr>
          <w:rFonts w:ascii="宋体" w:hAnsi="宋体"/>
          <w:szCs w:val="21"/>
        </w:rPr>
      </w:pPr>
      <w:r>
        <w:rPr>
          <w:rFonts w:hint="eastAsia" w:ascii="宋体" w:hAnsi="宋体"/>
          <w:szCs w:val="21"/>
        </w:rPr>
        <w:t>16.任何由甲方委托乙方完成的审核成果文件所有权及知识产权均归属甲方，除向甲方交付外，乙方无权将其作任何形式的利用。否则，须向甲方支付违约金 1万元并承担由此造成的一切的损失及相关法律责任。</w:t>
      </w:r>
    </w:p>
    <w:p w14:paraId="5165AC56">
      <w:pPr>
        <w:ind w:firstLine="420"/>
        <w:jc w:val="left"/>
        <w:rPr>
          <w:rFonts w:ascii="宋体" w:hAnsi="宋体"/>
          <w:szCs w:val="21"/>
        </w:rPr>
      </w:pPr>
      <w:r>
        <w:rPr>
          <w:rFonts w:hint="eastAsia" w:ascii="宋体" w:hAnsi="宋体"/>
          <w:szCs w:val="21"/>
        </w:rPr>
        <w:t>17.乙方对本工程负有保密责任，有关本工程的任何资料均属保密范围。若乙方泄露甲方要求保密内容和资料，造成不良后果和损失的，甲方每次扣减10万元作为违约金，违反法律的依法承担相应法律责任。</w:t>
      </w:r>
    </w:p>
    <w:p w14:paraId="44914F56">
      <w:pPr>
        <w:tabs>
          <w:tab w:val="left" w:pos="720"/>
        </w:tabs>
        <w:ind w:firstLine="420"/>
        <w:rPr>
          <w:rFonts w:ascii="宋体" w:hAnsi="宋体"/>
          <w:szCs w:val="21"/>
        </w:rPr>
      </w:pPr>
      <w:r>
        <w:rPr>
          <w:rFonts w:hint="eastAsia" w:ascii="宋体" w:hAnsi="宋体"/>
          <w:szCs w:val="21"/>
        </w:rPr>
        <w:t>18.乙方指派的造价工程师如不能参加甲方要求的必要的工程例会，每缺席一次乙方应向甲方人支付人民币0.</w:t>
      </w:r>
      <w:r>
        <w:rPr>
          <w:rFonts w:ascii="宋体" w:hAnsi="宋体"/>
          <w:szCs w:val="21"/>
        </w:rPr>
        <w:t>5</w:t>
      </w:r>
      <w:r>
        <w:rPr>
          <w:rFonts w:hint="eastAsia" w:ascii="宋体" w:hAnsi="宋体"/>
          <w:szCs w:val="21"/>
        </w:rPr>
        <w:t>万元的违约金。</w:t>
      </w:r>
    </w:p>
    <w:p w14:paraId="159D65E5">
      <w:pPr>
        <w:ind w:firstLine="420"/>
        <w:jc w:val="left"/>
        <w:rPr>
          <w:rFonts w:ascii="宋体" w:hAnsi="宋体"/>
          <w:szCs w:val="21"/>
        </w:rPr>
      </w:pPr>
      <w:r>
        <w:rPr>
          <w:rFonts w:hint="eastAsia" w:ascii="宋体" w:hAnsi="宋体"/>
          <w:szCs w:val="21"/>
        </w:rPr>
        <w:t>19.按照投标文件中承诺组建项目组，由投标文件所承诺的人员完成本项目的全部工作。未经甲方书面同意，不得更换执行本合同项目组任何成员。未经甲方同意更换项目负责人及项目组成员，甲方按0.5万元/人/次扣减合同价款作为违约金。</w:t>
      </w:r>
    </w:p>
    <w:p w14:paraId="525AB8E3">
      <w:pPr>
        <w:tabs>
          <w:tab w:val="left" w:pos="720"/>
        </w:tabs>
        <w:ind w:firstLine="420"/>
        <w:rPr>
          <w:rFonts w:ascii="宋体" w:hAnsi="宋体"/>
          <w:szCs w:val="21"/>
        </w:rPr>
      </w:pPr>
      <w:r>
        <w:rPr>
          <w:rFonts w:hint="eastAsia" w:ascii="宋体" w:hAnsi="宋体"/>
          <w:szCs w:val="21"/>
        </w:rPr>
        <w:t>20.甲方认为乙方为本项目指派的造价咨询人员不能胜任工作或甲方以其他正当理由提出要求更换人员，乙方应当在接到甲方书面通知后7日内进行更换。否则，乙方应向甲方支付人民币0.5万元/人次的违约金。</w:t>
      </w:r>
    </w:p>
    <w:p w14:paraId="7D73CD3A">
      <w:pPr>
        <w:tabs>
          <w:tab w:val="left" w:pos="720"/>
        </w:tabs>
        <w:ind w:firstLine="420"/>
        <w:rPr>
          <w:rFonts w:ascii="宋体" w:hAnsi="宋体"/>
          <w:szCs w:val="21"/>
        </w:rPr>
      </w:pPr>
      <w:r>
        <w:rPr>
          <w:rFonts w:hint="eastAsia" w:ascii="宋体" w:hAnsi="宋体"/>
          <w:szCs w:val="21"/>
        </w:rPr>
        <w:t>21.造价咨询人员及其他参加本项目人员若与施工单位以及建筑材料、构配件和设备供应单位等第三方存在隶属关系或者其他利害关系，如直接或间接控股、联营等关系，乙方应主动向甲方申报。甲方一经发现上述情况存在时，有权要求乙方予以回避。若乙方拒绝回避，甲方有权终止合同，并有权追究乙方违约责任。若发现有违反，甲方按0.5万元/人/次扣减咨询酬金作为违约金，乙方应立即更换人员并对有关工作进行重新核算。</w:t>
      </w:r>
    </w:p>
    <w:p w14:paraId="5E95386F">
      <w:pPr>
        <w:ind w:firstLine="420"/>
        <w:jc w:val="left"/>
        <w:rPr>
          <w:rFonts w:ascii="宋体" w:hAnsi="宋体"/>
          <w:szCs w:val="21"/>
        </w:rPr>
      </w:pPr>
      <w:r>
        <w:rPr>
          <w:rFonts w:hint="eastAsia" w:ascii="宋体" w:hAnsi="宋体"/>
          <w:szCs w:val="21"/>
        </w:rPr>
        <w:t>22.乙方人员及其他参加本项目人员应廉洁自律，不得向任何相关单位和个人索取或接收礼金、财务。不得接受施工单位、监理单位、供应商等第三方给予的任何利益（包括宴请、折扣、贿赂、贷款及其他娱乐活动）。不得利用职务之便谋取其他不正当的利益，上述现象一经发现，甲方有权终止合同，并要求乙方赔偿甲方所受的任何损失或损害。在造价咨询工作过程中，每发生一次由承包人、供应商投诉乙方人员故意为难卡要的，经查证属实，不论金额多少，除令其退还外，一经发现，须向甲方支付违约金 1万元/次，同时乙方须撤换乙方指派的该当事人。</w:t>
      </w:r>
    </w:p>
    <w:p w14:paraId="1DA2D8A9">
      <w:pPr>
        <w:tabs>
          <w:tab w:val="left" w:pos="720"/>
        </w:tabs>
        <w:ind w:firstLine="420"/>
        <w:rPr>
          <w:rFonts w:ascii="宋体" w:hAnsi="宋体"/>
          <w:szCs w:val="21"/>
        </w:rPr>
      </w:pPr>
      <w:r>
        <w:rPr>
          <w:rFonts w:hint="eastAsia" w:ascii="宋体" w:hAnsi="宋体"/>
          <w:szCs w:val="21"/>
        </w:rPr>
        <w:t>23.乙方应当履行本合同中约定的义务，如果失职给甲方造成经济损失，应按法律规定承担其失职责任并赔偿甲方的经济损失。乙方无任何正当理由，部分或全部不履行合同规定的义务时，甲方有权根据具体情况扣减相应的咨询酬金，此外，经过甲方书面催告后，乙方仍未在催告的合理期限内履行或纠正的，甲方有权解除合同，乙方还应赔偿因此给甲方造成的全部经济损失。乙方的累计赔偿额达到本合同咨询服务费用总额的30﹪时，甲方有权单方面终止合同。由此造成的所有责任及费用由乙方承担，且甲方不承担任何违约责任。</w:t>
      </w:r>
    </w:p>
    <w:p w14:paraId="0B5E992C">
      <w:pPr>
        <w:tabs>
          <w:tab w:val="left" w:pos="720"/>
        </w:tabs>
        <w:ind w:firstLine="420"/>
        <w:rPr>
          <w:rFonts w:ascii="宋体" w:hAnsi="宋体"/>
          <w:szCs w:val="21"/>
        </w:rPr>
      </w:pPr>
      <w:r>
        <w:rPr>
          <w:rFonts w:hint="eastAsia" w:ascii="宋体" w:hAnsi="宋体"/>
          <w:szCs w:val="21"/>
        </w:rPr>
        <w:t>24.乙方人员及其他参加本项目人员与施工单位、监理单位等第三方串通谋取非法利益给甲方造成损失的，甲方有权要求乙方赔偿全部损失并列入供应商黑名单。</w:t>
      </w:r>
    </w:p>
    <w:p w14:paraId="4726F54A">
      <w:pPr>
        <w:ind w:firstLine="420"/>
        <w:rPr>
          <w:rFonts w:ascii="宋体" w:hAnsi="宋体"/>
          <w:szCs w:val="21"/>
        </w:rPr>
      </w:pPr>
      <w:r>
        <w:rPr>
          <w:rFonts w:hint="eastAsia" w:ascii="宋体" w:hAnsi="宋体"/>
          <w:szCs w:val="21"/>
        </w:rPr>
        <w:t>25.违约金由甲方在向乙方付款时，直接从咨询酬金中扣除。如同一违约行为的违约金要求不一致的，按合同文件解释顺序规则处理；处于同一解释顺序的，以更严格者为准。</w:t>
      </w:r>
    </w:p>
    <w:p w14:paraId="67CAE9C3">
      <w:pPr>
        <w:autoSpaceDE w:val="0"/>
        <w:autoSpaceDN w:val="0"/>
        <w:adjustRightInd w:val="0"/>
        <w:ind w:firstLine="420"/>
        <w:jc w:val="left"/>
        <w:rPr>
          <w:rFonts w:ascii="宋体" w:hAnsi="宋体"/>
          <w:b/>
          <w:bCs/>
          <w:szCs w:val="21"/>
        </w:rPr>
      </w:pPr>
      <w:r>
        <w:rPr>
          <w:rFonts w:ascii="宋体" w:hAnsi="宋体"/>
          <w:szCs w:val="21"/>
        </w:rPr>
        <w:t>2</w:t>
      </w:r>
      <w:r>
        <w:rPr>
          <w:rFonts w:hint="eastAsia" w:ascii="宋体" w:hAnsi="宋体"/>
          <w:szCs w:val="21"/>
        </w:rPr>
        <w:t>6.自合同签订之日起，根据甲方指令要求由乙方派驻1名造价工程师（姓名：</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，身份证号码：</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，联系电话：</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）常驻甲方。</w:t>
      </w:r>
    </w:p>
    <w:p w14:paraId="71FE1A08">
      <w:pPr>
        <w:ind w:firstLine="428"/>
        <w:rPr>
          <w:b/>
          <w:bCs/>
        </w:rPr>
      </w:pPr>
      <w:r>
        <w:rPr>
          <w:rFonts w:hint="eastAsia" w:ascii="宋体" w:hAnsi="宋体"/>
          <w:b/>
          <w:bCs/>
          <w:szCs w:val="21"/>
        </w:rPr>
        <w:t>附件：</w:t>
      </w:r>
      <w:r>
        <w:rPr>
          <w:rFonts w:hint="eastAsia"/>
          <w:b/>
          <w:bCs/>
        </w:rPr>
        <w:t xml:space="preserve"> 拟派项目团队人员配置表</w:t>
      </w:r>
    </w:p>
    <w:tbl>
      <w:tblPr>
        <w:tblStyle w:val="10"/>
        <w:tblW w:w="91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889"/>
        <w:gridCol w:w="1304"/>
        <w:gridCol w:w="654"/>
        <w:gridCol w:w="637"/>
        <w:gridCol w:w="764"/>
        <w:gridCol w:w="1133"/>
        <w:gridCol w:w="764"/>
        <w:gridCol w:w="764"/>
        <w:gridCol w:w="765"/>
        <w:gridCol w:w="765"/>
      </w:tblGrid>
      <w:tr w14:paraId="43675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72" w:type="dxa"/>
            <w:vAlign w:val="center"/>
          </w:tcPr>
          <w:p w14:paraId="3C399D51">
            <w:pPr>
              <w:widowControl w:val="0"/>
              <w:spacing w:line="240" w:lineRule="auto"/>
              <w:ind w:firstLine="0" w:firstLineChars="0"/>
              <w:jc w:val="center"/>
            </w:pPr>
            <w:r>
              <w:rPr>
                <w:rFonts w:hint="eastAsia"/>
              </w:rPr>
              <w:t>序号</w:t>
            </w:r>
          </w:p>
        </w:tc>
        <w:tc>
          <w:tcPr>
            <w:tcW w:w="889" w:type="dxa"/>
            <w:vAlign w:val="center"/>
          </w:tcPr>
          <w:p w14:paraId="0955025F">
            <w:pPr>
              <w:widowControl w:val="0"/>
              <w:spacing w:line="240" w:lineRule="auto"/>
              <w:ind w:firstLine="0" w:firstLineChars="0"/>
              <w:jc w:val="center"/>
            </w:pPr>
            <w:r>
              <w:rPr>
                <w:rFonts w:hint="eastAsia"/>
              </w:rPr>
              <w:t>姓名</w:t>
            </w:r>
          </w:p>
        </w:tc>
        <w:tc>
          <w:tcPr>
            <w:tcW w:w="1304" w:type="dxa"/>
            <w:vAlign w:val="center"/>
          </w:tcPr>
          <w:p w14:paraId="1D48B71A">
            <w:pPr>
              <w:widowControl w:val="0"/>
              <w:spacing w:line="240" w:lineRule="auto"/>
              <w:ind w:firstLine="0" w:firstLineChars="0"/>
              <w:jc w:val="center"/>
            </w:pPr>
            <w:r>
              <w:rPr>
                <w:rFonts w:hint="eastAsia"/>
              </w:rPr>
              <w:t>拟任岗位</w:t>
            </w:r>
          </w:p>
        </w:tc>
        <w:tc>
          <w:tcPr>
            <w:tcW w:w="654" w:type="dxa"/>
            <w:vAlign w:val="center"/>
          </w:tcPr>
          <w:p w14:paraId="09A529F4">
            <w:pPr>
              <w:widowControl w:val="0"/>
              <w:spacing w:line="240" w:lineRule="auto"/>
              <w:ind w:firstLine="0" w:firstLineChars="0"/>
              <w:jc w:val="center"/>
            </w:pPr>
            <w:r>
              <w:rPr>
                <w:rFonts w:hint="eastAsia"/>
              </w:rPr>
              <w:t>年龄</w:t>
            </w:r>
          </w:p>
        </w:tc>
        <w:tc>
          <w:tcPr>
            <w:tcW w:w="637" w:type="dxa"/>
            <w:vAlign w:val="center"/>
          </w:tcPr>
          <w:p w14:paraId="20473063">
            <w:pPr>
              <w:widowControl w:val="0"/>
              <w:spacing w:line="240" w:lineRule="auto"/>
              <w:ind w:firstLine="0" w:firstLineChars="0"/>
              <w:jc w:val="center"/>
            </w:pPr>
            <w:r>
              <w:rPr>
                <w:rFonts w:hint="eastAsia"/>
              </w:rPr>
              <w:t>性别</w:t>
            </w:r>
          </w:p>
        </w:tc>
        <w:tc>
          <w:tcPr>
            <w:tcW w:w="764" w:type="dxa"/>
            <w:vAlign w:val="center"/>
          </w:tcPr>
          <w:p w14:paraId="66180906">
            <w:pPr>
              <w:widowControl w:val="0"/>
              <w:spacing w:line="240" w:lineRule="auto"/>
              <w:ind w:firstLine="0" w:firstLineChars="0"/>
              <w:jc w:val="center"/>
            </w:pPr>
            <w:r>
              <w:rPr>
                <w:rFonts w:hint="eastAsia"/>
              </w:rPr>
              <w:t>学历</w:t>
            </w:r>
          </w:p>
        </w:tc>
        <w:tc>
          <w:tcPr>
            <w:tcW w:w="1133" w:type="dxa"/>
            <w:vAlign w:val="center"/>
          </w:tcPr>
          <w:p w14:paraId="431F1AD3">
            <w:pPr>
              <w:widowControl w:val="0"/>
              <w:spacing w:line="240" w:lineRule="auto"/>
              <w:ind w:firstLine="0" w:firstLineChars="0"/>
              <w:jc w:val="center"/>
            </w:pPr>
            <w:r>
              <w:rPr>
                <w:rFonts w:hint="eastAsia"/>
              </w:rPr>
              <w:t>注册证书</w:t>
            </w:r>
          </w:p>
        </w:tc>
        <w:tc>
          <w:tcPr>
            <w:tcW w:w="764" w:type="dxa"/>
            <w:vAlign w:val="center"/>
          </w:tcPr>
          <w:p w14:paraId="1B54DCDB">
            <w:pPr>
              <w:widowControl w:val="0"/>
              <w:spacing w:line="240" w:lineRule="auto"/>
              <w:ind w:firstLine="0" w:firstLineChars="0"/>
              <w:jc w:val="center"/>
            </w:pPr>
            <w:r>
              <w:rPr>
                <w:rFonts w:hint="eastAsia"/>
              </w:rPr>
              <w:t>专业</w:t>
            </w:r>
          </w:p>
        </w:tc>
        <w:tc>
          <w:tcPr>
            <w:tcW w:w="764" w:type="dxa"/>
            <w:vAlign w:val="center"/>
          </w:tcPr>
          <w:p w14:paraId="21A98CFC">
            <w:pPr>
              <w:widowControl w:val="0"/>
              <w:spacing w:line="240" w:lineRule="auto"/>
              <w:ind w:firstLine="0" w:firstLineChars="0"/>
              <w:jc w:val="center"/>
            </w:pPr>
            <w:r>
              <w:rPr>
                <w:rFonts w:hint="eastAsia"/>
              </w:rPr>
              <w:t>专业年限</w:t>
            </w:r>
          </w:p>
        </w:tc>
        <w:tc>
          <w:tcPr>
            <w:tcW w:w="765" w:type="dxa"/>
            <w:vAlign w:val="center"/>
          </w:tcPr>
          <w:p w14:paraId="009267B5">
            <w:pPr>
              <w:widowControl w:val="0"/>
              <w:spacing w:line="240" w:lineRule="auto"/>
              <w:ind w:firstLine="0" w:firstLineChars="0"/>
              <w:jc w:val="center"/>
            </w:pPr>
            <w:r>
              <w:rPr>
                <w:rFonts w:hint="eastAsia"/>
              </w:rPr>
              <w:t>职称</w:t>
            </w:r>
          </w:p>
        </w:tc>
        <w:tc>
          <w:tcPr>
            <w:tcW w:w="765" w:type="dxa"/>
            <w:vAlign w:val="center"/>
          </w:tcPr>
          <w:p w14:paraId="0BA13B29">
            <w:pPr>
              <w:widowControl w:val="0"/>
              <w:spacing w:line="240" w:lineRule="auto"/>
              <w:ind w:firstLine="0" w:firstLineChars="0"/>
              <w:jc w:val="center"/>
            </w:pPr>
            <w:r>
              <w:rPr>
                <w:rFonts w:hint="eastAsia"/>
              </w:rPr>
              <w:t>备注</w:t>
            </w:r>
          </w:p>
        </w:tc>
      </w:tr>
      <w:tr w14:paraId="138D5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6E1E0E2E">
            <w:pPr>
              <w:widowControl w:val="0"/>
              <w:spacing w:line="240" w:lineRule="auto"/>
              <w:ind w:firstLine="0" w:firstLineChars="0"/>
              <w:jc w:val="center"/>
            </w:pPr>
            <w:r>
              <w:rPr>
                <w:rFonts w:hint="eastAsia"/>
              </w:rPr>
              <w:t>1</w:t>
            </w:r>
          </w:p>
        </w:tc>
        <w:tc>
          <w:tcPr>
            <w:tcW w:w="889" w:type="dxa"/>
            <w:vAlign w:val="center"/>
          </w:tcPr>
          <w:p w14:paraId="1212EE8E">
            <w:pPr>
              <w:widowControl w:val="0"/>
              <w:spacing w:line="240" w:lineRule="auto"/>
              <w:ind w:firstLine="0" w:firstLineChars="0"/>
              <w:jc w:val="center"/>
            </w:pPr>
          </w:p>
        </w:tc>
        <w:tc>
          <w:tcPr>
            <w:tcW w:w="1304" w:type="dxa"/>
            <w:vAlign w:val="center"/>
          </w:tcPr>
          <w:p w14:paraId="7B566A2A">
            <w:pPr>
              <w:widowControl w:val="0"/>
              <w:spacing w:line="240" w:lineRule="auto"/>
              <w:ind w:firstLine="0" w:firstLineChars="0"/>
              <w:jc w:val="center"/>
            </w:pPr>
          </w:p>
        </w:tc>
        <w:tc>
          <w:tcPr>
            <w:tcW w:w="654" w:type="dxa"/>
            <w:vAlign w:val="center"/>
          </w:tcPr>
          <w:p w14:paraId="3D33D062">
            <w:pPr>
              <w:widowControl w:val="0"/>
              <w:spacing w:line="240" w:lineRule="auto"/>
              <w:ind w:firstLine="0" w:firstLineChars="0"/>
              <w:jc w:val="center"/>
            </w:pPr>
          </w:p>
        </w:tc>
        <w:tc>
          <w:tcPr>
            <w:tcW w:w="637" w:type="dxa"/>
            <w:vAlign w:val="center"/>
          </w:tcPr>
          <w:p w14:paraId="07CE14A6">
            <w:pPr>
              <w:widowControl w:val="0"/>
              <w:spacing w:line="240" w:lineRule="auto"/>
              <w:ind w:firstLine="0" w:firstLineChars="0"/>
              <w:jc w:val="center"/>
            </w:pPr>
          </w:p>
        </w:tc>
        <w:tc>
          <w:tcPr>
            <w:tcW w:w="764" w:type="dxa"/>
            <w:vAlign w:val="center"/>
          </w:tcPr>
          <w:p w14:paraId="07FADE01">
            <w:pPr>
              <w:widowControl w:val="0"/>
              <w:spacing w:line="240" w:lineRule="auto"/>
              <w:ind w:firstLine="0" w:firstLineChars="0"/>
              <w:jc w:val="center"/>
            </w:pPr>
          </w:p>
        </w:tc>
        <w:tc>
          <w:tcPr>
            <w:tcW w:w="1133" w:type="dxa"/>
            <w:vAlign w:val="center"/>
          </w:tcPr>
          <w:p w14:paraId="3E237A98">
            <w:pPr>
              <w:widowControl w:val="0"/>
              <w:spacing w:line="240" w:lineRule="auto"/>
              <w:ind w:firstLine="0" w:firstLineChars="0"/>
              <w:jc w:val="center"/>
            </w:pPr>
          </w:p>
        </w:tc>
        <w:tc>
          <w:tcPr>
            <w:tcW w:w="764" w:type="dxa"/>
            <w:vAlign w:val="center"/>
          </w:tcPr>
          <w:p w14:paraId="7222F5D4">
            <w:pPr>
              <w:widowControl w:val="0"/>
              <w:spacing w:line="240" w:lineRule="auto"/>
              <w:ind w:firstLine="0" w:firstLineChars="0"/>
              <w:jc w:val="center"/>
            </w:pPr>
          </w:p>
        </w:tc>
        <w:tc>
          <w:tcPr>
            <w:tcW w:w="764" w:type="dxa"/>
            <w:vAlign w:val="center"/>
          </w:tcPr>
          <w:p w14:paraId="423DB356">
            <w:pPr>
              <w:widowControl w:val="0"/>
              <w:spacing w:line="240" w:lineRule="auto"/>
              <w:ind w:firstLine="0" w:firstLineChars="0"/>
              <w:jc w:val="center"/>
            </w:pPr>
          </w:p>
        </w:tc>
        <w:tc>
          <w:tcPr>
            <w:tcW w:w="765" w:type="dxa"/>
            <w:vAlign w:val="center"/>
          </w:tcPr>
          <w:p w14:paraId="5415C4AE">
            <w:pPr>
              <w:widowControl w:val="0"/>
              <w:spacing w:line="240" w:lineRule="auto"/>
              <w:ind w:firstLine="0" w:firstLineChars="0"/>
              <w:jc w:val="center"/>
            </w:pPr>
          </w:p>
        </w:tc>
        <w:tc>
          <w:tcPr>
            <w:tcW w:w="765" w:type="dxa"/>
            <w:vAlign w:val="center"/>
          </w:tcPr>
          <w:p w14:paraId="62272A44">
            <w:pPr>
              <w:widowControl w:val="0"/>
              <w:spacing w:line="240" w:lineRule="auto"/>
              <w:ind w:firstLine="0" w:firstLineChars="0"/>
              <w:jc w:val="center"/>
            </w:pPr>
          </w:p>
        </w:tc>
      </w:tr>
      <w:tr w14:paraId="2CB1E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2F7BF9A2">
            <w:pPr>
              <w:widowControl w:val="0"/>
              <w:spacing w:line="240" w:lineRule="auto"/>
              <w:ind w:firstLine="0" w:firstLineChars="0"/>
              <w:jc w:val="center"/>
            </w:pPr>
            <w:r>
              <w:rPr>
                <w:rFonts w:hint="eastAsia"/>
              </w:rPr>
              <w:t>2</w:t>
            </w:r>
          </w:p>
        </w:tc>
        <w:tc>
          <w:tcPr>
            <w:tcW w:w="889" w:type="dxa"/>
            <w:vAlign w:val="center"/>
          </w:tcPr>
          <w:p w14:paraId="422491CB">
            <w:pPr>
              <w:widowControl w:val="0"/>
              <w:spacing w:line="240" w:lineRule="auto"/>
              <w:ind w:firstLine="0" w:firstLineChars="0"/>
              <w:jc w:val="center"/>
            </w:pPr>
          </w:p>
        </w:tc>
        <w:tc>
          <w:tcPr>
            <w:tcW w:w="1304" w:type="dxa"/>
            <w:vAlign w:val="center"/>
          </w:tcPr>
          <w:p w14:paraId="0FF9FFB3">
            <w:pPr>
              <w:widowControl w:val="0"/>
              <w:spacing w:line="240" w:lineRule="auto"/>
              <w:ind w:firstLine="0" w:firstLineChars="0"/>
              <w:jc w:val="center"/>
            </w:pPr>
          </w:p>
        </w:tc>
        <w:tc>
          <w:tcPr>
            <w:tcW w:w="654" w:type="dxa"/>
            <w:vAlign w:val="center"/>
          </w:tcPr>
          <w:p w14:paraId="04D33F89">
            <w:pPr>
              <w:widowControl w:val="0"/>
              <w:spacing w:line="240" w:lineRule="auto"/>
              <w:ind w:firstLine="0" w:firstLineChars="0"/>
              <w:jc w:val="center"/>
            </w:pPr>
          </w:p>
        </w:tc>
        <w:tc>
          <w:tcPr>
            <w:tcW w:w="637" w:type="dxa"/>
            <w:vAlign w:val="center"/>
          </w:tcPr>
          <w:p w14:paraId="37392584">
            <w:pPr>
              <w:widowControl w:val="0"/>
              <w:spacing w:line="240" w:lineRule="auto"/>
              <w:ind w:firstLine="0" w:firstLineChars="0"/>
              <w:jc w:val="center"/>
            </w:pPr>
          </w:p>
        </w:tc>
        <w:tc>
          <w:tcPr>
            <w:tcW w:w="764" w:type="dxa"/>
            <w:vAlign w:val="center"/>
          </w:tcPr>
          <w:p w14:paraId="2660FC04">
            <w:pPr>
              <w:widowControl w:val="0"/>
              <w:spacing w:line="240" w:lineRule="auto"/>
              <w:ind w:firstLine="0" w:firstLineChars="0"/>
              <w:jc w:val="center"/>
            </w:pPr>
          </w:p>
        </w:tc>
        <w:tc>
          <w:tcPr>
            <w:tcW w:w="1133" w:type="dxa"/>
            <w:vAlign w:val="center"/>
          </w:tcPr>
          <w:p w14:paraId="71B0EEBB">
            <w:pPr>
              <w:widowControl w:val="0"/>
              <w:spacing w:line="240" w:lineRule="auto"/>
              <w:ind w:firstLine="0" w:firstLineChars="0"/>
              <w:jc w:val="center"/>
            </w:pPr>
          </w:p>
        </w:tc>
        <w:tc>
          <w:tcPr>
            <w:tcW w:w="764" w:type="dxa"/>
            <w:vAlign w:val="center"/>
          </w:tcPr>
          <w:p w14:paraId="2BC36E80">
            <w:pPr>
              <w:widowControl w:val="0"/>
              <w:spacing w:line="240" w:lineRule="auto"/>
              <w:ind w:firstLine="0" w:firstLineChars="0"/>
              <w:jc w:val="center"/>
            </w:pPr>
          </w:p>
        </w:tc>
        <w:tc>
          <w:tcPr>
            <w:tcW w:w="764" w:type="dxa"/>
            <w:vAlign w:val="center"/>
          </w:tcPr>
          <w:p w14:paraId="0372F401">
            <w:pPr>
              <w:widowControl w:val="0"/>
              <w:spacing w:line="240" w:lineRule="auto"/>
              <w:ind w:firstLine="0" w:firstLineChars="0"/>
              <w:jc w:val="center"/>
            </w:pPr>
          </w:p>
        </w:tc>
        <w:tc>
          <w:tcPr>
            <w:tcW w:w="765" w:type="dxa"/>
            <w:vAlign w:val="center"/>
          </w:tcPr>
          <w:p w14:paraId="6C07731F">
            <w:pPr>
              <w:widowControl w:val="0"/>
              <w:spacing w:line="240" w:lineRule="auto"/>
              <w:ind w:firstLine="0" w:firstLineChars="0"/>
              <w:jc w:val="center"/>
            </w:pPr>
          </w:p>
        </w:tc>
        <w:tc>
          <w:tcPr>
            <w:tcW w:w="765" w:type="dxa"/>
            <w:vAlign w:val="center"/>
          </w:tcPr>
          <w:p w14:paraId="74D86545">
            <w:pPr>
              <w:widowControl w:val="0"/>
              <w:spacing w:line="240" w:lineRule="auto"/>
              <w:ind w:firstLine="0" w:firstLineChars="0"/>
              <w:jc w:val="center"/>
            </w:pPr>
          </w:p>
        </w:tc>
      </w:tr>
      <w:tr w14:paraId="21E6A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4139BBC0">
            <w:pPr>
              <w:widowControl w:val="0"/>
              <w:spacing w:line="240" w:lineRule="auto"/>
              <w:ind w:firstLine="0" w:firstLineChars="0"/>
              <w:jc w:val="center"/>
            </w:pPr>
            <w:r>
              <w:rPr>
                <w:rFonts w:hint="eastAsia"/>
              </w:rPr>
              <w:t>3</w:t>
            </w:r>
          </w:p>
        </w:tc>
        <w:tc>
          <w:tcPr>
            <w:tcW w:w="889" w:type="dxa"/>
            <w:vAlign w:val="center"/>
          </w:tcPr>
          <w:p w14:paraId="5EE48838">
            <w:pPr>
              <w:widowControl w:val="0"/>
              <w:spacing w:line="240" w:lineRule="auto"/>
              <w:ind w:firstLine="0" w:firstLineChars="0"/>
              <w:jc w:val="center"/>
            </w:pPr>
          </w:p>
        </w:tc>
        <w:tc>
          <w:tcPr>
            <w:tcW w:w="1304" w:type="dxa"/>
            <w:vAlign w:val="center"/>
          </w:tcPr>
          <w:p w14:paraId="004AB386">
            <w:pPr>
              <w:widowControl w:val="0"/>
              <w:spacing w:line="240" w:lineRule="auto"/>
              <w:ind w:firstLine="0" w:firstLineChars="0"/>
              <w:jc w:val="center"/>
            </w:pPr>
          </w:p>
        </w:tc>
        <w:tc>
          <w:tcPr>
            <w:tcW w:w="654" w:type="dxa"/>
            <w:vAlign w:val="center"/>
          </w:tcPr>
          <w:p w14:paraId="4CD5D3BA">
            <w:pPr>
              <w:widowControl w:val="0"/>
              <w:spacing w:line="240" w:lineRule="auto"/>
              <w:ind w:firstLine="0" w:firstLineChars="0"/>
              <w:jc w:val="center"/>
            </w:pPr>
          </w:p>
        </w:tc>
        <w:tc>
          <w:tcPr>
            <w:tcW w:w="637" w:type="dxa"/>
            <w:vAlign w:val="center"/>
          </w:tcPr>
          <w:p w14:paraId="42285B51">
            <w:pPr>
              <w:widowControl w:val="0"/>
              <w:spacing w:line="240" w:lineRule="auto"/>
              <w:ind w:firstLine="0" w:firstLineChars="0"/>
              <w:jc w:val="center"/>
            </w:pPr>
          </w:p>
        </w:tc>
        <w:tc>
          <w:tcPr>
            <w:tcW w:w="764" w:type="dxa"/>
            <w:vAlign w:val="center"/>
          </w:tcPr>
          <w:p w14:paraId="21440500">
            <w:pPr>
              <w:widowControl w:val="0"/>
              <w:spacing w:line="240" w:lineRule="auto"/>
              <w:ind w:firstLine="0" w:firstLineChars="0"/>
              <w:jc w:val="center"/>
            </w:pPr>
          </w:p>
        </w:tc>
        <w:tc>
          <w:tcPr>
            <w:tcW w:w="1133" w:type="dxa"/>
            <w:vAlign w:val="center"/>
          </w:tcPr>
          <w:p w14:paraId="49808AEB">
            <w:pPr>
              <w:widowControl w:val="0"/>
              <w:spacing w:line="240" w:lineRule="auto"/>
              <w:ind w:firstLine="0" w:firstLineChars="0"/>
              <w:jc w:val="center"/>
            </w:pPr>
          </w:p>
        </w:tc>
        <w:tc>
          <w:tcPr>
            <w:tcW w:w="764" w:type="dxa"/>
            <w:vAlign w:val="center"/>
          </w:tcPr>
          <w:p w14:paraId="635E42DE">
            <w:pPr>
              <w:widowControl w:val="0"/>
              <w:spacing w:line="240" w:lineRule="auto"/>
              <w:ind w:firstLine="0" w:firstLineChars="0"/>
              <w:jc w:val="center"/>
            </w:pPr>
          </w:p>
        </w:tc>
        <w:tc>
          <w:tcPr>
            <w:tcW w:w="764" w:type="dxa"/>
            <w:vAlign w:val="center"/>
          </w:tcPr>
          <w:p w14:paraId="32383543">
            <w:pPr>
              <w:widowControl w:val="0"/>
              <w:spacing w:line="240" w:lineRule="auto"/>
              <w:ind w:firstLine="0" w:firstLineChars="0"/>
              <w:jc w:val="center"/>
            </w:pPr>
          </w:p>
        </w:tc>
        <w:tc>
          <w:tcPr>
            <w:tcW w:w="765" w:type="dxa"/>
            <w:vAlign w:val="center"/>
          </w:tcPr>
          <w:p w14:paraId="3160136C">
            <w:pPr>
              <w:widowControl w:val="0"/>
              <w:spacing w:line="240" w:lineRule="auto"/>
              <w:ind w:firstLine="0" w:firstLineChars="0"/>
              <w:jc w:val="center"/>
            </w:pPr>
          </w:p>
        </w:tc>
        <w:tc>
          <w:tcPr>
            <w:tcW w:w="765" w:type="dxa"/>
            <w:vAlign w:val="center"/>
          </w:tcPr>
          <w:p w14:paraId="4DD5E608">
            <w:pPr>
              <w:widowControl w:val="0"/>
              <w:spacing w:line="240" w:lineRule="auto"/>
              <w:ind w:firstLine="0" w:firstLineChars="0"/>
              <w:jc w:val="center"/>
            </w:pPr>
          </w:p>
        </w:tc>
      </w:tr>
      <w:tr w14:paraId="4B52E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295DA572">
            <w:pPr>
              <w:widowControl w:val="0"/>
              <w:spacing w:line="240" w:lineRule="auto"/>
              <w:ind w:firstLine="0" w:firstLineChars="0"/>
              <w:jc w:val="center"/>
            </w:pPr>
            <w:r>
              <w:rPr>
                <w:rFonts w:hint="eastAsia"/>
              </w:rPr>
              <w:t>4</w:t>
            </w:r>
          </w:p>
        </w:tc>
        <w:tc>
          <w:tcPr>
            <w:tcW w:w="889" w:type="dxa"/>
            <w:vAlign w:val="center"/>
          </w:tcPr>
          <w:p w14:paraId="08A0C8CE">
            <w:pPr>
              <w:widowControl w:val="0"/>
              <w:spacing w:line="240" w:lineRule="auto"/>
              <w:ind w:firstLine="0" w:firstLineChars="0"/>
              <w:jc w:val="center"/>
            </w:pPr>
          </w:p>
        </w:tc>
        <w:tc>
          <w:tcPr>
            <w:tcW w:w="1304" w:type="dxa"/>
            <w:vAlign w:val="center"/>
          </w:tcPr>
          <w:p w14:paraId="1B4437C4">
            <w:pPr>
              <w:widowControl w:val="0"/>
              <w:spacing w:line="240" w:lineRule="auto"/>
              <w:ind w:firstLine="0" w:firstLineChars="0"/>
              <w:jc w:val="center"/>
            </w:pPr>
          </w:p>
        </w:tc>
        <w:tc>
          <w:tcPr>
            <w:tcW w:w="654" w:type="dxa"/>
            <w:vAlign w:val="center"/>
          </w:tcPr>
          <w:p w14:paraId="231C2522">
            <w:pPr>
              <w:widowControl w:val="0"/>
              <w:spacing w:line="240" w:lineRule="auto"/>
              <w:ind w:firstLine="0" w:firstLineChars="0"/>
              <w:jc w:val="center"/>
            </w:pPr>
          </w:p>
        </w:tc>
        <w:tc>
          <w:tcPr>
            <w:tcW w:w="637" w:type="dxa"/>
            <w:vAlign w:val="center"/>
          </w:tcPr>
          <w:p w14:paraId="09C95568">
            <w:pPr>
              <w:widowControl w:val="0"/>
              <w:spacing w:line="240" w:lineRule="auto"/>
              <w:ind w:firstLine="0" w:firstLineChars="0"/>
              <w:jc w:val="center"/>
            </w:pPr>
          </w:p>
        </w:tc>
        <w:tc>
          <w:tcPr>
            <w:tcW w:w="764" w:type="dxa"/>
            <w:vAlign w:val="center"/>
          </w:tcPr>
          <w:p w14:paraId="0BDE3846">
            <w:pPr>
              <w:widowControl w:val="0"/>
              <w:spacing w:line="240" w:lineRule="auto"/>
              <w:ind w:firstLine="0" w:firstLineChars="0"/>
              <w:jc w:val="center"/>
            </w:pPr>
          </w:p>
        </w:tc>
        <w:tc>
          <w:tcPr>
            <w:tcW w:w="1133" w:type="dxa"/>
            <w:vAlign w:val="center"/>
          </w:tcPr>
          <w:p w14:paraId="67217F76">
            <w:pPr>
              <w:widowControl w:val="0"/>
              <w:spacing w:line="240" w:lineRule="auto"/>
              <w:ind w:firstLine="0" w:firstLineChars="0"/>
              <w:jc w:val="center"/>
            </w:pPr>
          </w:p>
        </w:tc>
        <w:tc>
          <w:tcPr>
            <w:tcW w:w="764" w:type="dxa"/>
            <w:vAlign w:val="center"/>
          </w:tcPr>
          <w:p w14:paraId="0B23CE40">
            <w:pPr>
              <w:widowControl w:val="0"/>
              <w:spacing w:line="240" w:lineRule="auto"/>
              <w:ind w:firstLine="0" w:firstLineChars="0"/>
              <w:jc w:val="center"/>
            </w:pPr>
          </w:p>
        </w:tc>
        <w:tc>
          <w:tcPr>
            <w:tcW w:w="764" w:type="dxa"/>
            <w:vAlign w:val="center"/>
          </w:tcPr>
          <w:p w14:paraId="77AC34CE">
            <w:pPr>
              <w:widowControl w:val="0"/>
              <w:spacing w:line="240" w:lineRule="auto"/>
              <w:ind w:firstLine="0" w:firstLineChars="0"/>
              <w:jc w:val="center"/>
            </w:pPr>
          </w:p>
        </w:tc>
        <w:tc>
          <w:tcPr>
            <w:tcW w:w="765" w:type="dxa"/>
            <w:vAlign w:val="center"/>
          </w:tcPr>
          <w:p w14:paraId="2472AE96">
            <w:pPr>
              <w:widowControl w:val="0"/>
              <w:spacing w:line="240" w:lineRule="auto"/>
              <w:ind w:firstLine="0" w:firstLineChars="0"/>
              <w:jc w:val="center"/>
            </w:pPr>
          </w:p>
        </w:tc>
        <w:tc>
          <w:tcPr>
            <w:tcW w:w="765" w:type="dxa"/>
            <w:vAlign w:val="center"/>
          </w:tcPr>
          <w:p w14:paraId="5EA06BC2">
            <w:pPr>
              <w:widowControl w:val="0"/>
              <w:spacing w:line="240" w:lineRule="auto"/>
              <w:ind w:firstLine="0" w:firstLineChars="0"/>
              <w:jc w:val="center"/>
            </w:pPr>
          </w:p>
        </w:tc>
      </w:tr>
      <w:tr w14:paraId="721B5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46342739">
            <w:pPr>
              <w:widowControl w:val="0"/>
              <w:spacing w:line="240" w:lineRule="auto"/>
              <w:ind w:firstLine="0" w:firstLineChars="0"/>
              <w:jc w:val="center"/>
            </w:pPr>
            <w:r>
              <w:rPr>
                <w:rFonts w:hint="eastAsia"/>
              </w:rPr>
              <w:t>5</w:t>
            </w:r>
          </w:p>
        </w:tc>
        <w:tc>
          <w:tcPr>
            <w:tcW w:w="889" w:type="dxa"/>
            <w:vAlign w:val="center"/>
          </w:tcPr>
          <w:p w14:paraId="59D18488">
            <w:pPr>
              <w:widowControl w:val="0"/>
              <w:spacing w:line="240" w:lineRule="auto"/>
              <w:ind w:firstLine="0" w:firstLineChars="0"/>
              <w:jc w:val="center"/>
            </w:pPr>
          </w:p>
        </w:tc>
        <w:tc>
          <w:tcPr>
            <w:tcW w:w="1304" w:type="dxa"/>
            <w:vAlign w:val="center"/>
          </w:tcPr>
          <w:p w14:paraId="55D6328B">
            <w:pPr>
              <w:widowControl w:val="0"/>
              <w:spacing w:line="240" w:lineRule="auto"/>
              <w:ind w:firstLine="0" w:firstLineChars="0"/>
              <w:jc w:val="center"/>
            </w:pPr>
          </w:p>
        </w:tc>
        <w:tc>
          <w:tcPr>
            <w:tcW w:w="654" w:type="dxa"/>
            <w:vAlign w:val="center"/>
          </w:tcPr>
          <w:p w14:paraId="155DCFDF">
            <w:pPr>
              <w:widowControl w:val="0"/>
              <w:spacing w:line="240" w:lineRule="auto"/>
              <w:ind w:firstLine="0" w:firstLineChars="0"/>
              <w:jc w:val="center"/>
            </w:pPr>
          </w:p>
        </w:tc>
        <w:tc>
          <w:tcPr>
            <w:tcW w:w="637" w:type="dxa"/>
            <w:vAlign w:val="center"/>
          </w:tcPr>
          <w:p w14:paraId="4AFC5B87">
            <w:pPr>
              <w:widowControl w:val="0"/>
              <w:spacing w:line="240" w:lineRule="auto"/>
              <w:ind w:firstLine="0" w:firstLineChars="0"/>
              <w:jc w:val="center"/>
            </w:pPr>
          </w:p>
        </w:tc>
        <w:tc>
          <w:tcPr>
            <w:tcW w:w="764" w:type="dxa"/>
            <w:vAlign w:val="center"/>
          </w:tcPr>
          <w:p w14:paraId="4E5028C0">
            <w:pPr>
              <w:widowControl w:val="0"/>
              <w:spacing w:line="240" w:lineRule="auto"/>
              <w:ind w:firstLine="0" w:firstLineChars="0"/>
              <w:jc w:val="center"/>
            </w:pPr>
          </w:p>
        </w:tc>
        <w:tc>
          <w:tcPr>
            <w:tcW w:w="1133" w:type="dxa"/>
            <w:vAlign w:val="center"/>
          </w:tcPr>
          <w:p w14:paraId="74383E5D">
            <w:pPr>
              <w:widowControl w:val="0"/>
              <w:spacing w:line="240" w:lineRule="auto"/>
              <w:ind w:firstLine="0" w:firstLineChars="0"/>
              <w:jc w:val="center"/>
            </w:pPr>
          </w:p>
        </w:tc>
        <w:tc>
          <w:tcPr>
            <w:tcW w:w="764" w:type="dxa"/>
            <w:vAlign w:val="center"/>
          </w:tcPr>
          <w:p w14:paraId="2CBD7637">
            <w:pPr>
              <w:widowControl w:val="0"/>
              <w:spacing w:line="240" w:lineRule="auto"/>
              <w:ind w:firstLine="0" w:firstLineChars="0"/>
              <w:jc w:val="center"/>
            </w:pPr>
          </w:p>
        </w:tc>
        <w:tc>
          <w:tcPr>
            <w:tcW w:w="764" w:type="dxa"/>
            <w:vAlign w:val="center"/>
          </w:tcPr>
          <w:p w14:paraId="7B6CDC57">
            <w:pPr>
              <w:widowControl w:val="0"/>
              <w:spacing w:line="240" w:lineRule="auto"/>
              <w:ind w:firstLine="0" w:firstLineChars="0"/>
              <w:jc w:val="center"/>
            </w:pPr>
          </w:p>
        </w:tc>
        <w:tc>
          <w:tcPr>
            <w:tcW w:w="765" w:type="dxa"/>
            <w:vAlign w:val="center"/>
          </w:tcPr>
          <w:p w14:paraId="1A4DF6EF">
            <w:pPr>
              <w:widowControl w:val="0"/>
              <w:spacing w:line="240" w:lineRule="auto"/>
              <w:ind w:firstLine="0" w:firstLineChars="0"/>
              <w:jc w:val="center"/>
            </w:pPr>
          </w:p>
        </w:tc>
        <w:tc>
          <w:tcPr>
            <w:tcW w:w="765" w:type="dxa"/>
            <w:vAlign w:val="center"/>
          </w:tcPr>
          <w:p w14:paraId="3C06F615">
            <w:pPr>
              <w:widowControl w:val="0"/>
              <w:spacing w:line="240" w:lineRule="auto"/>
              <w:ind w:firstLine="0" w:firstLineChars="0"/>
              <w:jc w:val="center"/>
            </w:pPr>
          </w:p>
        </w:tc>
      </w:tr>
      <w:tr w14:paraId="1302F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1D5F4778">
            <w:pPr>
              <w:widowControl w:val="0"/>
              <w:spacing w:line="240" w:lineRule="auto"/>
              <w:ind w:firstLine="0" w:firstLineChars="0"/>
              <w:jc w:val="center"/>
            </w:pPr>
            <w:r>
              <w:rPr>
                <w:rFonts w:hint="eastAsia"/>
              </w:rPr>
              <w:t>6</w:t>
            </w:r>
          </w:p>
        </w:tc>
        <w:tc>
          <w:tcPr>
            <w:tcW w:w="889" w:type="dxa"/>
            <w:vAlign w:val="center"/>
          </w:tcPr>
          <w:p w14:paraId="6B4584B5">
            <w:pPr>
              <w:widowControl w:val="0"/>
              <w:spacing w:line="240" w:lineRule="auto"/>
              <w:ind w:firstLine="0" w:firstLineChars="0"/>
              <w:jc w:val="center"/>
            </w:pPr>
          </w:p>
        </w:tc>
        <w:tc>
          <w:tcPr>
            <w:tcW w:w="1304" w:type="dxa"/>
            <w:vAlign w:val="center"/>
          </w:tcPr>
          <w:p w14:paraId="650103D8">
            <w:pPr>
              <w:widowControl w:val="0"/>
              <w:spacing w:line="240" w:lineRule="auto"/>
              <w:ind w:firstLine="0" w:firstLineChars="0"/>
              <w:jc w:val="center"/>
            </w:pPr>
          </w:p>
        </w:tc>
        <w:tc>
          <w:tcPr>
            <w:tcW w:w="654" w:type="dxa"/>
            <w:vAlign w:val="center"/>
          </w:tcPr>
          <w:p w14:paraId="72FD6B7A">
            <w:pPr>
              <w:widowControl w:val="0"/>
              <w:spacing w:line="240" w:lineRule="auto"/>
              <w:ind w:firstLine="0" w:firstLineChars="0"/>
              <w:jc w:val="center"/>
            </w:pPr>
          </w:p>
        </w:tc>
        <w:tc>
          <w:tcPr>
            <w:tcW w:w="637" w:type="dxa"/>
            <w:vAlign w:val="center"/>
          </w:tcPr>
          <w:p w14:paraId="7F112ABE">
            <w:pPr>
              <w:widowControl w:val="0"/>
              <w:spacing w:line="240" w:lineRule="auto"/>
              <w:ind w:firstLine="0" w:firstLineChars="0"/>
              <w:jc w:val="center"/>
            </w:pPr>
          </w:p>
        </w:tc>
        <w:tc>
          <w:tcPr>
            <w:tcW w:w="764" w:type="dxa"/>
            <w:vAlign w:val="center"/>
          </w:tcPr>
          <w:p w14:paraId="50A1ABF1">
            <w:pPr>
              <w:widowControl w:val="0"/>
              <w:spacing w:line="240" w:lineRule="auto"/>
              <w:ind w:firstLine="0" w:firstLineChars="0"/>
              <w:jc w:val="center"/>
            </w:pPr>
          </w:p>
        </w:tc>
        <w:tc>
          <w:tcPr>
            <w:tcW w:w="1133" w:type="dxa"/>
            <w:vAlign w:val="center"/>
          </w:tcPr>
          <w:p w14:paraId="654E0C33">
            <w:pPr>
              <w:widowControl w:val="0"/>
              <w:spacing w:line="240" w:lineRule="auto"/>
              <w:ind w:firstLine="0" w:firstLineChars="0"/>
              <w:jc w:val="center"/>
            </w:pPr>
          </w:p>
        </w:tc>
        <w:tc>
          <w:tcPr>
            <w:tcW w:w="764" w:type="dxa"/>
            <w:vAlign w:val="center"/>
          </w:tcPr>
          <w:p w14:paraId="7E36DD96">
            <w:pPr>
              <w:widowControl w:val="0"/>
              <w:spacing w:line="240" w:lineRule="auto"/>
              <w:ind w:firstLine="0" w:firstLineChars="0"/>
              <w:jc w:val="center"/>
            </w:pPr>
          </w:p>
        </w:tc>
        <w:tc>
          <w:tcPr>
            <w:tcW w:w="764" w:type="dxa"/>
            <w:vAlign w:val="center"/>
          </w:tcPr>
          <w:p w14:paraId="19DFB443">
            <w:pPr>
              <w:widowControl w:val="0"/>
              <w:spacing w:line="240" w:lineRule="auto"/>
              <w:ind w:firstLine="0" w:firstLineChars="0"/>
              <w:jc w:val="center"/>
            </w:pPr>
          </w:p>
        </w:tc>
        <w:tc>
          <w:tcPr>
            <w:tcW w:w="765" w:type="dxa"/>
            <w:vAlign w:val="center"/>
          </w:tcPr>
          <w:p w14:paraId="3613300E">
            <w:pPr>
              <w:widowControl w:val="0"/>
              <w:spacing w:line="240" w:lineRule="auto"/>
              <w:ind w:firstLine="0" w:firstLineChars="0"/>
              <w:jc w:val="center"/>
            </w:pPr>
          </w:p>
        </w:tc>
        <w:tc>
          <w:tcPr>
            <w:tcW w:w="765" w:type="dxa"/>
            <w:vAlign w:val="center"/>
          </w:tcPr>
          <w:p w14:paraId="19274807">
            <w:pPr>
              <w:widowControl w:val="0"/>
              <w:spacing w:line="240" w:lineRule="auto"/>
              <w:ind w:firstLine="0" w:firstLineChars="0"/>
              <w:jc w:val="center"/>
            </w:pPr>
          </w:p>
        </w:tc>
      </w:tr>
      <w:tr w14:paraId="7BA69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74DEB334">
            <w:pPr>
              <w:widowControl w:val="0"/>
              <w:spacing w:line="240" w:lineRule="auto"/>
              <w:ind w:firstLine="0" w:firstLineChars="0"/>
              <w:jc w:val="center"/>
            </w:pPr>
            <w:r>
              <w:rPr>
                <w:rFonts w:hint="eastAsia"/>
              </w:rPr>
              <w:t>7</w:t>
            </w:r>
          </w:p>
        </w:tc>
        <w:tc>
          <w:tcPr>
            <w:tcW w:w="889" w:type="dxa"/>
            <w:vAlign w:val="center"/>
          </w:tcPr>
          <w:p w14:paraId="1E8DD970">
            <w:pPr>
              <w:widowControl w:val="0"/>
              <w:spacing w:line="240" w:lineRule="auto"/>
              <w:ind w:firstLine="0" w:firstLineChars="0"/>
              <w:jc w:val="center"/>
            </w:pPr>
          </w:p>
        </w:tc>
        <w:tc>
          <w:tcPr>
            <w:tcW w:w="1304" w:type="dxa"/>
            <w:vAlign w:val="center"/>
          </w:tcPr>
          <w:p w14:paraId="42DB67CB">
            <w:pPr>
              <w:widowControl w:val="0"/>
              <w:spacing w:line="240" w:lineRule="auto"/>
              <w:ind w:firstLine="0" w:firstLineChars="0"/>
              <w:jc w:val="center"/>
            </w:pPr>
          </w:p>
        </w:tc>
        <w:tc>
          <w:tcPr>
            <w:tcW w:w="654" w:type="dxa"/>
            <w:vAlign w:val="center"/>
          </w:tcPr>
          <w:p w14:paraId="7629A2DF">
            <w:pPr>
              <w:widowControl w:val="0"/>
              <w:spacing w:line="240" w:lineRule="auto"/>
              <w:ind w:firstLine="0" w:firstLineChars="0"/>
              <w:jc w:val="center"/>
            </w:pPr>
          </w:p>
        </w:tc>
        <w:tc>
          <w:tcPr>
            <w:tcW w:w="637" w:type="dxa"/>
            <w:vAlign w:val="center"/>
          </w:tcPr>
          <w:p w14:paraId="365A33D5">
            <w:pPr>
              <w:widowControl w:val="0"/>
              <w:spacing w:line="240" w:lineRule="auto"/>
              <w:ind w:firstLine="0" w:firstLineChars="0"/>
              <w:jc w:val="center"/>
            </w:pPr>
          </w:p>
        </w:tc>
        <w:tc>
          <w:tcPr>
            <w:tcW w:w="764" w:type="dxa"/>
            <w:vAlign w:val="center"/>
          </w:tcPr>
          <w:p w14:paraId="3D833EBB">
            <w:pPr>
              <w:widowControl w:val="0"/>
              <w:spacing w:line="240" w:lineRule="auto"/>
              <w:ind w:firstLine="0" w:firstLineChars="0"/>
              <w:jc w:val="center"/>
            </w:pPr>
          </w:p>
        </w:tc>
        <w:tc>
          <w:tcPr>
            <w:tcW w:w="1133" w:type="dxa"/>
            <w:vAlign w:val="center"/>
          </w:tcPr>
          <w:p w14:paraId="6F0A694B">
            <w:pPr>
              <w:widowControl w:val="0"/>
              <w:spacing w:line="240" w:lineRule="auto"/>
              <w:ind w:firstLine="0" w:firstLineChars="0"/>
              <w:jc w:val="center"/>
            </w:pPr>
          </w:p>
        </w:tc>
        <w:tc>
          <w:tcPr>
            <w:tcW w:w="764" w:type="dxa"/>
            <w:vAlign w:val="center"/>
          </w:tcPr>
          <w:p w14:paraId="7D764885">
            <w:pPr>
              <w:widowControl w:val="0"/>
              <w:spacing w:line="240" w:lineRule="auto"/>
              <w:ind w:firstLine="0" w:firstLineChars="0"/>
              <w:jc w:val="center"/>
            </w:pPr>
          </w:p>
        </w:tc>
        <w:tc>
          <w:tcPr>
            <w:tcW w:w="764" w:type="dxa"/>
            <w:vAlign w:val="center"/>
          </w:tcPr>
          <w:p w14:paraId="3DC91445">
            <w:pPr>
              <w:widowControl w:val="0"/>
              <w:spacing w:line="240" w:lineRule="auto"/>
              <w:ind w:firstLine="0" w:firstLineChars="0"/>
              <w:jc w:val="center"/>
            </w:pPr>
          </w:p>
        </w:tc>
        <w:tc>
          <w:tcPr>
            <w:tcW w:w="765" w:type="dxa"/>
            <w:vAlign w:val="center"/>
          </w:tcPr>
          <w:p w14:paraId="661B81F1">
            <w:pPr>
              <w:widowControl w:val="0"/>
              <w:spacing w:line="240" w:lineRule="auto"/>
              <w:ind w:firstLine="0" w:firstLineChars="0"/>
              <w:jc w:val="center"/>
            </w:pPr>
          </w:p>
        </w:tc>
        <w:tc>
          <w:tcPr>
            <w:tcW w:w="765" w:type="dxa"/>
            <w:vAlign w:val="center"/>
          </w:tcPr>
          <w:p w14:paraId="4854E373">
            <w:pPr>
              <w:widowControl w:val="0"/>
              <w:spacing w:line="240" w:lineRule="auto"/>
              <w:ind w:firstLine="0" w:firstLineChars="0"/>
              <w:jc w:val="center"/>
            </w:pPr>
          </w:p>
        </w:tc>
      </w:tr>
      <w:tr w14:paraId="0E569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4122476A">
            <w:pPr>
              <w:widowControl w:val="0"/>
              <w:spacing w:line="240" w:lineRule="auto"/>
              <w:ind w:firstLine="0" w:firstLineChars="0"/>
              <w:jc w:val="center"/>
            </w:pPr>
            <w:r>
              <w:rPr>
                <w:rFonts w:hint="eastAsia"/>
              </w:rPr>
              <w:t>8</w:t>
            </w:r>
          </w:p>
        </w:tc>
        <w:tc>
          <w:tcPr>
            <w:tcW w:w="889" w:type="dxa"/>
            <w:vAlign w:val="center"/>
          </w:tcPr>
          <w:p w14:paraId="5B1A7A75">
            <w:pPr>
              <w:widowControl w:val="0"/>
              <w:spacing w:line="240" w:lineRule="auto"/>
              <w:ind w:firstLine="0" w:firstLineChars="0"/>
              <w:jc w:val="center"/>
            </w:pPr>
          </w:p>
        </w:tc>
        <w:tc>
          <w:tcPr>
            <w:tcW w:w="1304" w:type="dxa"/>
            <w:vAlign w:val="center"/>
          </w:tcPr>
          <w:p w14:paraId="21D8C940">
            <w:pPr>
              <w:widowControl w:val="0"/>
              <w:spacing w:line="240" w:lineRule="auto"/>
              <w:ind w:firstLine="0" w:firstLineChars="0"/>
              <w:jc w:val="center"/>
            </w:pPr>
          </w:p>
        </w:tc>
        <w:tc>
          <w:tcPr>
            <w:tcW w:w="654" w:type="dxa"/>
            <w:vAlign w:val="center"/>
          </w:tcPr>
          <w:p w14:paraId="14AD6190">
            <w:pPr>
              <w:widowControl w:val="0"/>
              <w:spacing w:line="240" w:lineRule="auto"/>
              <w:ind w:firstLine="0" w:firstLineChars="0"/>
              <w:jc w:val="center"/>
            </w:pPr>
          </w:p>
        </w:tc>
        <w:tc>
          <w:tcPr>
            <w:tcW w:w="637" w:type="dxa"/>
            <w:vAlign w:val="center"/>
          </w:tcPr>
          <w:p w14:paraId="5A848576">
            <w:pPr>
              <w:widowControl w:val="0"/>
              <w:spacing w:line="240" w:lineRule="auto"/>
              <w:ind w:firstLine="0" w:firstLineChars="0"/>
              <w:jc w:val="center"/>
            </w:pPr>
          </w:p>
        </w:tc>
        <w:tc>
          <w:tcPr>
            <w:tcW w:w="764" w:type="dxa"/>
            <w:vAlign w:val="center"/>
          </w:tcPr>
          <w:p w14:paraId="2900E9E4">
            <w:pPr>
              <w:widowControl w:val="0"/>
              <w:spacing w:line="240" w:lineRule="auto"/>
              <w:ind w:firstLine="0" w:firstLineChars="0"/>
              <w:jc w:val="center"/>
            </w:pPr>
          </w:p>
        </w:tc>
        <w:tc>
          <w:tcPr>
            <w:tcW w:w="1133" w:type="dxa"/>
            <w:vAlign w:val="center"/>
          </w:tcPr>
          <w:p w14:paraId="2319AA7E">
            <w:pPr>
              <w:widowControl w:val="0"/>
              <w:spacing w:line="240" w:lineRule="auto"/>
              <w:ind w:firstLine="0" w:firstLineChars="0"/>
              <w:jc w:val="center"/>
            </w:pPr>
          </w:p>
        </w:tc>
        <w:tc>
          <w:tcPr>
            <w:tcW w:w="764" w:type="dxa"/>
            <w:vAlign w:val="center"/>
          </w:tcPr>
          <w:p w14:paraId="2AAE755F">
            <w:pPr>
              <w:widowControl w:val="0"/>
              <w:spacing w:line="240" w:lineRule="auto"/>
              <w:ind w:firstLine="0" w:firstLineChars="0"/>
              <w:jc w:val="center"/>
            </w:pPr>
          </w:p>
        </w:tc>
        <w:tc>
          <w:tcPr>
            <w:tcW w:w="764" w:type="dxa"/>
            <w:vAlign w:val="center"/>
          </w:tcPr>
          <w:p w14:paraId="01D98FF0">
            <w:pPr>
              <w:widowControl w:val="0"/>
              <w:spacing w:line="240" w:lineRule="auto"/>
              <w:ind w:firstLine="0" w:firstLineChars="0"/>
              <w:jc w:val="center"/>
            </w:pPr>
          </w:p>
        </w:tc>
        <w:tc>
          <w:tcPr>
            <w:tcW w:w="765" w:type="dxa"/>
            <w:vAlign w:val="center"/>
          </w:tcPr>
          <w:p w14:paraId="1273962C">
            <w:pPr>
              <w:widowControl w:val="0"/>
              <w:spacing w:line="240" w:lineRule="auto"/>
              <w:ind w:firstLine="0" w:firstLineChars="0"/>
              <w:jc w:val="center"/>
            </w:pPr>
          </w:p>
        </w:tc>
        <w:tc>
          <w:tcPr>
            <w:tcW w:w="765" w:type="dxa"/>
            <w:vAlign w:val="center"/>
          </w:tcPr>
          <w:p w14:paraId="7754E15D">
            <w:pPr>
              <w:widowControl w:val="0"/>
              <w:spacing w:line="240" w:lineRule="auto"/>
              <w:ind w:firstLine="0" w:firstLineChars="0"/>
              <w:jc w:val="center"/>
            </w:pPr>
          </w:p>
        </w:tc>
      </w:tr>
      <w:tr w14:paraId="2723D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2A5D43F1">
            <w:pPr>
              <w:widowControl w:val="0"/>
              <w:spacing w:line="240" w:lineRule="auto"/>
              <w:ind w:firstLine="0" w:firstLineChars="0"/>
              <w:jc w:val="center"/>
            </w:pPr>
            <w:r>
              <w:rPr>
                <w:rFonts w:hint="eastAsia"/>
              </w:rPr>
              <w:t>9</w:t>
            </w:r>
          </w:p>
        </w:tc>
        <w:tc>
          <w:tcPr>
            <w:tcW w:w="889" w:type="dxa"/>
            <w:vAlign w:val="center"/>
          </w:tcPr>
          <w:p w14:paraId="57044805">
            <w:pPr>
              <w:widowControl w:val="0"/>
              <w:spacing w:line="240" w:lineRule="auto"/>
              <w:ind w:firstLine="0" w:firstLineChars="0"/>
              <w:jc w:val="center"/>
            </w:pPr>
          </w:p>
        </w:tc>
        <w:tc>
          <w:tcPr>
            <w:tcW w:w="1304" w:type="dxa"/>
            <w:vAlign w:val="center"/>
          </w:tcPr>
          <w:p w14:paraId="5A4BCEFE">
            <w:pPr>
              <w:widowControl w:val="0"/>
              <w:spacing w:line="240" w:lineRule="auto"/>
              <w:ind w:firstLine="0" w:firstLineChars="0"/>
              <w:jc w:val="center"/>
            </w:pPr>
          </w:p>
        </w:tc>
        <w:tc>
          <w:tcPr>
            <w:tcW w:w="654" w:type="dxa"/>
            <w:vAlign w:val="center"/>
          </w:tcPr>
          <w:p w14:paraId="2950C4AF">
            <w:pPr>
              <w:widowControl w:val="0"/>
              <w:spacing w:line="240" w:lineRule="auto"/>
              <w:ind w:firstLine="0" w:firstLineChars="0"/>
              <w:jc w:val="center"/>
            </w:pPr>
          </w:p>
        </w:tc>
        <w:tc>
          <w:tcPr>
            <w:tcW w:w="637" w:type="dxa"/>
            <w:vAlign w:val="center"/>
          </w:tcPr>
          <w:p w14:paraId="1A964252">
            <w:pPr>
              <w:widowControl w:val="0"/>
              <w:spacing w:line="240" w:lineRule="auto"/>
              <w:ind w:firstLine="0" w:firstLineChars="0"/>
              <w:jc w:val="center"/>
            </w:pPr>
          </w:p>
        </w:tc>
        <w:tc>
          <w:tcPr>
            <w:tcW w:w="764" w:type="dxa"/>
            <w:vAlign w:val="center"/>
          </w:tcPr>
          <w:p w14:paraId="117B07FA">
            <w:pPr>
              <w:widowControl w:val="0"/>
              <w:spacing w:line="240" w:lineRule="auto"/>
              <w:ind w:firstLine="0" w:firstLineChars="0"/>
              <w:jc w:val="center"/>
            </w:pPr>
          </w:p>
        </w:tc>
        <w:tc>
          <w:tcPr>
            <w:tcW w:w="1133" w:type="dxa"/>
            <w:vAlign w:val="center"/>
          </w:tcPr>
          <w:p w14:paraId="37EDC089">
            <w:pPr>
              <w:widowControl w:val="0"/>
              <w:spacing w:line="240" w:lineRule="auto"/>
              <w:ind w:firstLine="0" w:firstLineChars="0"/>
              <w:jc w:val="center"/>
            </w:pPr>
          </w:p>
        </w:tc>
        <w:tc>
          <w:tcPr>
            <w:tcW w:w="764" w:type="dxa"/>
            <w:vAlign w:val="center"/>
          </w:tcPr>
          <w:p w14:paraId="370022E2">
            <w:pPr>
              <w:widowControl w:val="0"/>
              <w:spacing w:line="240" w:lineRule="auto"/>
              <w:ind w:firstLine="0" w:firstLineChars="0"/>
              <w:jc w:val="center"/>
            </w:pPr>
          </w:p>
        </w:tc>
        <w:tc>
          <w:tcPr>
            <w:tcW w:w="764" w:type="dxa"/>
            <w:vAlign w:val="center"/>
          </w:tcPr>
          <w:p w14:paraId="1B470D26">
            <w:pPr>
              <w:widowControl w:val="0"/>
              <w:spacing w:line="240" w:lineRule="auto"/>
              <w:ind w:firstLine="0" w:firstLineChars="0"/>
              <w:jc w:val="center"/>
            </w:pPr>
          </w:p>
        </w:tc>
        <w:tc>
          <w:tcPr>
            <w:tcW w:w="765" w:type="dxa"/>
            <w:vAlign w:val="center"/>
          </w:tcPr>
          <w:p w14:paraId="0FD02481">
            <w:pPr>
              <w:widowControl w:val="0"/>
              <w:spacing w:line="240" w:lineRule="auto"/>
              <w:ind w:firstLine="0" w:firstLineChars="0"/>
              <w:jc w:val="center"/>
            </w:pPr>
          </w:p>
        </w:tc>
        <w:tc>
          <w:tcPr>
            <w:tcW w:w="765" w:type="dxa"/>
            <w:vAlign w:val="center"/>
          </w:tcPr>
          <w:p w14:paraId="3F151718">
            <w:pPr>
              <w:widowControl w:val="0"/>
              <w:spacing w:line="240" w:lineRule="auto"/>
              <w:ind w:firstLine="0" w:firstLineChars="0"/>
              <w:jc w:val="center"/>
            </w:pPr>
          </w:p>
        </w:tc>
      </w:tr>
      <w:tr w14:paraId="79358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23FC13D7">
            <w:pPr>
              <w:widowControl w:val="0"/>
              <w:spacing w:line="240" w:lineRule="auto"/>
              <w:ind w:firstLine="0" w:firstLineChars="0"/>
              <w:jc w:val="center"/>
            </w:pPr>
            <w:r>
              <w:rPr>
                <w:rFonts w:hint="eastAsia"/>
              </w:rPr>
              <w:t>10</w:t>
            </w:r>
          </w:p>
        </w:tc>
        <w:tc>
          <w:tcPr>
            <w:tcW w:w="889" w:type="dxa"/>
            <w:vAlign w:val="center"/>
          </w:tcPr>
          <w:p w14:paraId="1891D31C">
            <w:pPr>
              <w:widowControl w:val="0"/>
              <w:spacing w:line="240" w:lineRule="auto"/>
              <w:ind w:firstLine="0" w:firstLineChars="0"/>
              <w:jc w:val="center"/>
            </w:pPr>
          </w:p>
        </w:tc>
        <w:tc>
          <w:tcPr>
            <w:tcW w:w="1304" w:type="dxa"/>
            <w:vAlign w:val="center"/>
          </w:tcPr>
          <w:p w14:paraId="2D5C8EE6">
            <w:pPr>
              <w:widowControl w:val="0"/>
              <w:spacing w:line="240" w:lineRule="auto"/>
              <w:ind w:firstLine="0" w:firstLineChars="0"/>
              <w:jc w:val="center"/>
            </w:pPr>
          </w:p>
        </w:tc>
        <w:tc>
          <w:tcPr>
            <w:tcW w:w="654" w:type="dxa"/>
            <w:vAlign w:val="center"/>
          </w:tcPr>
          <w:p w14:paraId="52E2CA19">
            <w:pPr>
              <w:widowControl w:val="0"/>
              <w:spacing w:line="240" w:lineRule="auto"/>
              <w:ind w:firstLine="0" w:firstLineChars="0"/>
              <w:jc w:val="center"/>
            </w:pPr>
          </w:p>
        </w:tc>
        <w:tc>
          <w:tcPr>
            <w:tcW w:w="637" w:type="dxa"/>
            <w:vAlign w:val="center"/>
          </w:tcPr>
          <w:p w14:paraId="616FF1EE">
            <w:pPr>
              <w:widowControl w:val="0"/>
              <w:spacing w:line="240" w:lineRule="auto"/>
              <w:ind w:firstLine="0" w:firstLineChars="0"/>
              <w:jc w:val="center"/>
            </w:pPr>
          </w:p>
        </w:tc>
        <w:tc>
          <w:tcPr>
            <w:tcW w:w="764" w:type="dxa"/>
            <w:vAlign w:val="center"/>
          </w:tcPr>
          <w:p w14:paraId="1EA110ED">
            <w:pPr>
              <w:widowControl w:val="0"/>
              <w:spacing w:line="240" w:lineRule="auto"/>
              <w:ind w:firstLine="0" w:firstLineChars="0"/>
              <w:jc w:val="center"/>
            </w:pPr>
          </w:p>
        </w:tc>
        <w:tc>
          <w:tcPr>
            <w:tcW w:w="1133" w:type="dxa"/>
            <w:vAlign w:val="center"/>
          </w:tcPr>
          <w:p w14:paraId="2413294B">
            <w:pPr>
              <w:widowControl w:val="0"/>
              <w:spacing w:line="240" w:lineRule="auto"/>
              <w:ind w:firstLine="0" w:firstLineChars="0"/>
              <w:jc w:val="center"/>
            </w:pPr>
          </w:p>
        </w:tc>
        <w:tc>
          <w:tcPr>
            <w:tcW w:w="764" w:type="dxa"/>
            <w:vAlign w:val="center"/>
          </w:tcPr>
          <w:p w14:paraId="0E23E9E2">
            <w:pPr>
              <w:widowControl w:val="0"/>
              <w:spacing w:line="240" w:lineRule="auto"/>
              <w:ind w:firstLine="0" w:firstLineChars="0"/>
              <w:jc w:val="center"/>
            </w:pPr>
          </w:p>
        </w:tc>
        <w:tc>
          <w:tcPr>
            <w:tcW w:w="764" w:type="dxa"/>
            <w:vAlign w:val="center"/>
          </w:tcPr>
          <w:p w14:paraId="12D02918">
            <w:pPr>
              <w:widowControl w:val="0"/>
              <w:spacing w:line="240" w:lineRule="auto"/>
              <w:ind w:firstLine="0" w:firstLineChars="0"/>
              <w:jc w:val="center"/>
            </w:pPr>
          </w:p>
        </w:tc>
        <w:tc>
          <w:tcPr>
            <w:tcW w:w="765" w:type="dxa"/>
            <w:vAlign w:val="center"/>
          </w:tcPr>
          <w:p w14:paraId="56C534B7">
            <w:pPr>
              <w:widowControl w:val="0"/>
              <w:spacing w:line="240" w:lineRule="auto"/>
              <w:ind w:firstLine="0" w:firstLineChars="0"/>
              <w:jc w:val="center"/>
            </w:pPr>
          </w:p>
        </w:tc>
        <w:tc>
          <w:tcPr>
            <w:tcW w:w="765" w:type="dxa"/>
            <w:vAlign w:val="center"/>
          </w:tcPr>
          <w:p w14:paraId="668436C1">
            <w:pPr>
              <w:widowControl w:val="0"/>
              <w:spacing w:line="240" w:lineRule="auto"/>
              <w:ind w:firstLine="0" w:firstLineChars="0"/>
              <w:jc w:val="center"/>
            </w:pPr>
          </w:p>
        </w:tc>
      </w:tr>
      <w:tr w14:paraId="5307D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15AEFB1C">
            <w:pPr>
              <w:widowControl w:val="0"/>
              <w:spacing w:line="240" w:lineRule="auto"/>
              <w:ind w:firstLine="0" w:firstLineChars="0"/>
              <w:jc w:val="center"/>
            </w:pPr>
            <w:r>
              <w:rPr>
                <w:rFonts w:hint="eastAsia"/>
              </w:rPr>
              <w:t>11</w:t>
            </w:r>
          </w:p>
        </w:tc>
        <w:tc>
          <w:tcPr>
            <w:tcW w:w="889" w:type="dxa"/>
            <w:vAlign w:val="center"/>
          </w:tcPr>
          <w:p w14:paraId="74E420EF">
            <w:pPr>
              <w:widowControl w:val="0"/>
              <w:spacing w:line="240" w:lineRule="auto"/>
              <w:ind w:firstLine="0" w:firstLineChars="0"/>
              <w:jc w:val="center"/>
            </w:pPr>
          </w:p>
        </w:tc>
        <w:tc>
          <w:tcPr>
            <w:tcW w:w="1304" w:type="dxa"/>
            <w:vAlign w:val="center"/>
          </w:tcPr>
          <w:p w14:paraId="6ED060C4">
            <w:pPr>
              <w:widowControl w:val="0"/>
              <w:spacing w:line="240" w:lineRule="auto"/>
              <w:ind w:firstLine="0" w:firstLineChars="0"/>
              <w:jc w:val="center"/>
            </w:pPr>
          </w:p>
        </w:tc>
        <w:tc>
          <w:tcPr>
            <w:tcW w:w="654" w:type="dxa"/>
            <w:vAlign w:val="center"/>
          </w:tcPr>
          <w:p w14:paraId="4B1D276E">
            <w:pPr>
              <w:widowControl w:val="0"/>
              <w:spacing w:line="240" w:lineRule="auto"/>
              <w:ind w:firstLine="0" w:firstLineChars="0"/>
              <w:jc w:val="center"/>
            </w:pPr>
          </w:p>
        </w:tc>
        <w:tc>
          <w:tcPr>
            <w:tcW w:w="637" w:type="dxa"/>
            <w:vAlign w:val="center"/>
          </w:tcPr>
          <w:p w14:paraId="387E73EA">
            <w:pPr>
              <w:widowControl w:val="0"/>
              <w:spacing w:line="240" w:lineRule="auto"/>
              <w:ind w:firstLine="0" w:firstLineChars="0"/>
              <w:jc w:val="center"/>
            </w:pPr>
          </w:p>
        </w:tc>
        <w:tc>
          <w:tcPr>
            <w:tcW w:w="764" w:type="dxa"/>
            <w:vAlign w:val="center"/>
          </w:tcPr>
          <w:p w14:paraId="6631A063">
            <w:pPr>
              <w:widowControl w:val="0"/>
              <w:spacing w:line="240" w:lineRule="auto"/>
              <w:ind w:firstLine="0" w:firstLineChars="0"/>
              <w:jc w:val="center"/>
            </w:pPr>
          </w:p>
        </w:tc>
        <w:tc>
          <w:tcPr>
            <w:tcW w:w="1133" w:type="dxa"/>
            <w:vAlign w:val="center"/>
          </w:tcPr>
          <w:p w14:paraId="18E2E1A4">
            <w:pPr>
              <w:widowControl w:val="0"/>
              <w:spacing w:line="240" w:lineRule="auto"/>
              <w:ind w:firstLine="0" w:firstLineChars="0"/>
              <w:jc w:val="center"/>
            </w:pPr>
          </w:p>
        </w:tc>
        <w:tc>
          <w:tcPr>
            <w:tcW w:w="764" w:type="dxa"/>
            <w:vAlign w:val="center"/>
          </w:tcPr>
          <w:p w14:paraId="52F704BA">
            <w:pPr>
              <w:widowControl w:val="0"/>
              <w:spacing w:line="240" w:lineRule="auto"/>
              <w:ind w:firstLine="0" w:firstLineChars="0"/>
              <w:jc w:val="center"/>
            </w:pPr>
          </w:p>
        </w:tc>
        <w:tc>
          <w:tcPr>
            <w:tcW w:w="764" w:type="dxa"/>
            <w:vAlign w:val="center"/>
          </w:tcPr>
          <w:p w14:paraId="697D3D97">
            <w:pPr>
              <w:widowControl w:val="0"/>
              <w:spacing w:line="240" w:lineRule="auto"/>
              <w:ind w:firstLine="0" w:firstLineChars="0"/>
              <w:jc w:val="center"/>
            </w:pPr>
          </w:p>
        </w:tc>
        <w:tc>
          <w:tcPr>
            <w:tcW w:w="765" w:type="dxa"/>
            <w:vAlign w:val="center"/>
          </w:tcPr>
          <w:p w14:paraId="04B0CAE3">
            <w:pPr>
              <w:widowControl w:val="0"/>
              <w:spacing w:line="240" w:lineRule="auto"/>
              <w:ind w:firstLine="0" w:firstLineChars="0"/>
              <w:jc w:val="center"/>
            </w:pPr>
          </w:p>
        </w:tc>
        <w:tc>
          <w:tcPr>
            <w:tcW w:w="765" w:type="dxa"/>
            <w:vAlign w:val="center"/>
          </w:tcPr>
          <w:p w14:paraId="0D6411B4">
            <w:pPr>
              <w:widowControl w:val="0"/>
              <w:spacing w:line="240" w:lineRule="auto"/>
              <w:ind w:firstLine="0" w:firstLineChars="0"/>
              <w:jc w:val="center"/>
            </w:pPr>
          </w:p>
        </w:tc>
      </w:tr>
      <w:tr w14:paraId="1714E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6E21581F">
            <w:pPr>
              <w:widowControl w:val="0"/>
              <w:spacing w:line="240" w:lineRule="auto"/>
              <w:ind w:firstLine="0" w:firstLineChars="0"/>
              <w:jc w:val="center"/>
            </w:pPr>
            <w:r>
              <w:rPr>
                <w:rFonts w:hint="eastAsia"/>
              </w:rPr>
              <w:t>12</w:t>
            </w:r>
          </w:p>
        </w:tc>
        <w:tc>
          <w:tcPr>
            <w:tcW w:w="889" w:type="dxa"/>
            <w:vAlign w:val="center"/>
          </w:tcPr>
          <w:p w14:paraId="103E8F02">
            <w:pPr>
              <w:widowControl w:val="0"/>
              <w:spacing w:line="240" w:lineRule="auto"/>
              <w:ind w:firstLine="0" w:firstLineChars="0"/>
              <w:jc w:val="center"/>
            </w:pPr>
          </w:p>
        </w:tc>
        <w:tc>
          <w:tcPr>
            <w:tcW w:w="1304" w:type="dxa"/>
            <w:vAlign w:val="center"/>
          </w:tcPr>
          <w:p w14:paraId="4B00E903">
            <w:pPr>
              <w:widowControl w:val="0"/>
              <w:spacing w:line="240" w:lineRule="auto"/>
              <w:ind w:firstLine="0" w:firstLineChars="0"/>
              <w:jc w:val="center"/>
            </w:pPr>
          </w:p>
        </w:tc>
        <w:tc>
          <w:tcPr>
            <w:tcW w:w="654" w:type="dxa"/>
            <w:vAlign w:val="center"/>
          </w:tcPr>
          <w:p w14:paraId="7CF7F526">
            <w:pPr>
              <w:widowControl w:val="0"/>
              <w:spacing w:line="240" w:lineRule="auto"/>
              <w:ind w:firstLine="0" w:firstLineChars="0"/>
              <w:jc w:val="center"/>
            </w:pPr>
          </w:p>
        </w:tc>
        <w:tc>
          <w:tcPr>
            <w:tcW w:w="637" w:type="dxa"/>
            <w:vAlign w:val="center"/>
          </w:tcPr>
          <w:p w14:paraId="4F84A392">
            <w:pPr>
              <w:widowControl w:val="0"/>
              <w:spacing w:line="240" w:lineRule="auto"/>
              <w:ind w:firstLine="0" w:firstLineChars="0"/>
              <w:jc w:val="center"/>
            </w:pPr>
          </w:p>
        </w:tc>
        <w:tc>
          <w:tcPr>
            <w:tcW w:w="764" w:type="dxa"/>
            <w:vAlign w:val="center"/>
          </w:tcPr>
          <w:p w14:paraId="2E84001E">
            <w:pPr>
              <w:widowControl w:val="0"/>
              <w:spacing w:line="240" w:lineRule="auto"/>
              <w:ind w:firstLine="0" w:firstLineChars="0"/>
              <w:jc w:val="center"/>
            </w:pPr>
          </w:p>
        </w:tc>
        <w:tc>
          <w:tcPr>
            <w:tcW w:w="1133" w:type="dxa"/>
            <w:vAlign w:val="center"/>
          </w:tcPr>
          <w:p w14:paraId="19053DD7">
            <w:pPr>
              <w:widowControl w:val="0"/>
              <w:spacing w:line="240" w:lineRule="auto"/>
              <w:ind w:firstLine="0" w:firstLineChars="0"/>
              <w:jc w:val="center"/>
            </w:pPr>
          </w:p>
        </w:tc>
        <w:tc>
          <w:tcPr>
            <w:tcW w:w="764" w:type="dxa"/>
            <w:vAlign w:val="center"/>
          </w:tcPr>
          <w:p w14:paraId="79222AC2">
            <w:pPr>
              <w:widowControl w:val="0"/>
              <w:spacing w:line="240" w:lineRule="auto"/>
              <w:ind w:firstLine="0" w:firstLineChars="0"/>
              <w:jc w:val="center"/>
            </w:pPr>
          </w:p>
        </w:tc>
        <w:tc>
          <w:tcPr>
            <w:tcW w:w="764" w:type="dxa"/>
            <w:vAlign w:val="center"/>
          </w:tcPr>
          <w:p w14:paraId="2ECF4386">
            <w:pPr>
              <w:widowControl w:val="0"/>
              <w:spacing w:line="240" w:lineRule="auto"/>
              <w:ind w:firstLine="0" w:firstLineChars="0"/>
              <w:jc w:val="center"/>
            </w:pPr>
          </w:p>
        </w:tc>
        <w:tc>
          <w:tcPr>
            <w:tcW w:w="765" w:type="dxa"/>
            <w:vAlign w:val="center"/>
          </w:tcPr>
          <w:p w14:paraId="605E26A6">
            <w:pPr>
              <w:widowControl w:val="0"/>
              <w:spacing w:line="240" w:lineRule="auto"/>
              <w:ind w:firstLine="0" w:firstLineChars="0"/>
              <w:jc w:val="center"/>
            </w:pPr>
          </w:p>
        </w:tc>
        <w:tc>
          <w:tcPr>
            <w:tcW w:w="765" w:type="dxa"/>
            <w:vAlign w:val="center"/>
          </w:tcPr>
          <w:p w14:paraId="16FD8646">
            <w:pPr>
              <w:widowControl w:val="0"/>
              <w:spacing w:line="240" w:lineRule="auto"/>
              <w:ind w:firstLine="0" w:firstLineChars="0"/>
              <w:jc w:val="center"/>
            </w:pPr>
          </w:p>
        </w:tc>
      </w:tr>
      <w:tr w14:paraId="0F486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18226BA9">
            <w:pPr>
              <w:widowControl w:val="0"/>
              <w:spacing w:line="240" w:lineRule="auto"/>
              <w:ind w:firstLine="0" w:firstLineChars="0"/>
              <w:jc w:val="center"/>
            </w:pPr>
            <w:r>
              <w:rPr>
                <w:rFonts w:hint="eastAsia"/>
              </w:rPr>
              <w:t>13</w:t>
            </w:r>
          </w:p>
        </w:tc>
        <w:tc>
          <w:tcPr>
            <w:tcW w:w="889" w:type="dxa"/>
            <w:vAlign w:val="center"/>
          </w:tcPr>
          <w:p w14:paraId="7B88F740">
            <w:pPr>
              <w:widowControl w:val="0"/>
              <w:spacing w:line="240" w:lineRule="auto"/>
              <w:ind w:firstLine="0" w:firstLineChars="0"/>
              <w:jc w:val="center"/>
            </w:pPr>
          </w:p>
        </w:tc>
        <w:tc>
          <w:tcPr>
            <w:tcW w:w="1304" w:type="dxa"/>
            <w:vAlign w:val="center"/>
          </w:tcPr>
          <w:p w14:paraId="50824FAE">
            <w:pPr>
              <w:widowControl w:val="0"/>
              <w:spacing w:line="240" w:lineRule="auto"/>
              <w:ind w:firstLine="0" w:firstLineChars="0"/>
              <w:jc w:val="center"/>
            </w:pPr>
          </w:p>
        </w:tc>
        <w:tc>
          <w:tcPr>
            <w:tcW w:w="654" w:type="dxa"/>
            <w:vAlign w:val="center"/>
          </w:tcPr>
          <w:p w14:paraId="3237A2C0">
            <w:pPr>
              <w:widowControl w:val="0"/>
              <w:spacing w:line="240" w:lineRule="auto"/>
              <w:ind w:firstLine="0" w:firstLineChars="0"/>
              <w:jc w:val="center"/>
            </w:pPr>
          </w:p>
        </w:tc>
        <w:tc>
          <w:tcPr>
            <w:tcW w:w="637" w:type="dxa"/>
            <w:vAlign w:val="center"/>
          </w:tcPr>
          <w:p w14:paraId="1B6B5FBE">
            <w:pPr>
              <w:widowControl w:val="0"/>
              <w:spacing w:line="240" w:lineRule="auto"/>
              <w:ind w:firstLine="0" w:firstLineChars="0"/>
              <w:jc w:val="center"/>
            </w:pPr>
          </w:p>
        </w:tc>
        <w:tc>
          <w:tcPr>
            <w:tcW w:w="764" w:type="dxa"/>
            <w:vAlign w:val="center"/>
          </w:tcPr>
          <w:p w14:paraId="0144B426">
            <w:pPr>
              <w:widowControl w:val="0"/>
              <w:spacing w:line="240" w:lineRule="auto"/>
              <w:ind w:firstLine="0" w:firstLineChars="0"/>
              <w:jc w:val="center"/>
            </w:pPr>
          </w:p>
        </w:tc>
        <w:tc>
          <w:tcPr>
            <w:tcW w:w="1133" w:type="dxa"/>
            <w:vAlign w:val="center"/>
          </w:tcPr>
          <w:p w14:paraId="43BFCB27">
            <w:pPr>
              <w:widowControl w:val="0"/>
              <w:spacing w:line="240" w:lineRule="auto"/>
              <w:ind w:firstLine="0" w:firstLineChars="0"/>
              <w:jc w:val="center"/>
            </w:pPr>
          </w:p>
        </w:tc>
        <w:tc>
          <w:tcPr>
            <w:tcW w:w="764" w:type="dxa"/>
            <w:vAlign w:val="center"/>
          </w:tcPr>
          <w:p w14:paraId="2FE17D99">
            <w:pPr>
              <w:widowControl w:val="0"/>
              <w:spacing w:line="240" w:lineRule="auto"/>
              <w:ind w:firstLine="0" w:firstLineChars="0"/>
              <w:jc w:val="center"/>
            </w:pPr>
          </w:p>
        </w:tc>
        <w:tc>
          <w:tcPr>
            <w:tcW w:w="764" w:type="dxa"/>
            <w:vAlign w:val="center"/>
          </w:tcPr>
          <w:p w14:paraId="789C2122">
            <w:pPr>
              <w:widowControl w:val="0"/>
              <w:spacing w:line="240" w:lineRule="auto"/>
              <w:ind w:firstLine="0" w:firstLineChars="0"/>
              <w:jc w:val="center"/>
            </w:pPr>
          </w:p>
        </w:tc>
        <w:tc>
          <w:tcPr>
            <w:tcW w:w="765" w:type="dxa"/>
            <w:vAlign w:val="center"/>
          </w:tcPr>
          <w:p w14:paraId="18B00B4B">
            <w:pPr>
              <w:widowControl w:val="0"/>
              <w:spacing w:line="240" w:lineRule="auto"/>
              <w:ind w:firstLine="0" w:firstLineChars="0"/>
              <w:jc w:val="center"/>
            </w:pPr>
          </w:p>
        </w:tc>
        <w:tc>
          <w:tcPr>
            <w:tcW w:w="765" w:type="dxa"/>
            <w:vAlign w:val="center"/>
          </w:tcPr>
          <w:p w14:paraId="34ADEC20">
            <w:pPr>
              <w:widowControl w:val="0"/>
              <w:spacing w:line="240" w:lineRule="auto"/>
              <w:ind w:firstLine="0" w:firstLineChars="0"/>
              <w:jc w:val="center"/>
            </w:pPr>
          </w:p>
        </w:tc>
      </w:tr>
      <w:tr w14:paraId="7A3C9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67347F60">
            <w:pPr>
              <w:widowControl w:val="0"/>
              <w:spacing w:line="240" w:lineRule="auto"/>
              <w:ind w:firstLine="0" w:firstLineChars="0"/>
              <w:jc w:val="center"/>
            </w:pPr>
            <w:r>
              <w:rPr>
                <w:rFonts w:hint="eastAsia"/>
              </w:rPr>
              <w:t>14</w:t>
            </w:r>
          </w:p>
        </w:tc>
        <w:tc>
          <w:tcPr>
            <w:tcW w:w="889" w:type="dxa"/>
            <w:vAlign w:val="center"/>
          </w:tcPr>
          <w:p w14:paraId="6407687B">
            <w:pPr>
              <w:widowControl w:val="0"/>
              <w:spacing w:line="240" w:lineRule="auto"/>
              <w:ind w:firstLine="0" w:firstLineChars="0"/>
              <w:jc w:val="center"/>
            </w:pPr>
          </w:p>
        </w:tc>
        <w:tc>
          <w:tcPr>
            <w:tcW w:w="1304" w:type="dxa"/>
            <w:vAlign w:val="center"/>
          </w:tcPr>
          <w:p w14:paraId="0B401206">
            <w:pPr>
              <w:widowControl w:val="0"/>
              <w:spacing w:line="240" w:lineRule="auto"/>
              <w:ind w:firstLine="0" w:firstLineChars="0"/>
              <w:jc w:val="center"/>
            </w:pPr>
          </w:p>
        </w:tc>
        <w:tc>
          <w:tcPr>
            <w:tcW w:w="654" w:type="dxa"/>
            <w:vAlign w:val="center"/>
          </w:tcPr>
          <w:p w14:paraId="340033C4">
            <w:pPr>
              <w:widowControl w:val="0"/>
              <w:spacing w:line="240" w:lineRule="auto"/>
              <w:ind w:firstLine="0" w:firstLineChars="0"/>
              <w:jc w:val="center"/>
            </w:pPr>
          </w:p>
        </w:tc>
        <w:tc>
          <w:tcPr>
            <w:tcW w:w="637" w:type="dxa"/>
            <w:vAlign w:val="center"/>
          </w:tcPr>
          <w:p w14:paraId="06CEB9E7">
            <w:pPr>
              <w:widowControl w:val="0"/>
              <w:spacing w:line="240" w:lineRule="auto"/>
              <w:ind w:firstLine="0" w:firstLineChars="0"/>
              <w:jc w:val="center"/>
            </w:pPr>
          </w:p>
        </w:tc>
        <w:tc>
          <w:tcPr>
            <w:tcW w:w="764" w:type="dxa"/>
            <w:vAlign w:val="center"/>
          </w:tcPr>
          <w:p w14:paraId="43BE8246">
            <w:pPr>
              <w:widowControl w:val="0"/>
              <w:spacing w:line="240" w:lineRule="auto"/>
              <w:ind w:firstLine="0" w:firstLineChars="0"/>
              <w:jc w:val="center"/>
            </w:pPr>
          </w:p>
        </w:tc>
        <w:tc>
          <w:tcPr>
            <w:tcW w:w="1133" w:type="dxa"/>
            <w:vAlign w:val="center"/>
          </w:tcPr>
          <w:p w14:paraId="7E988979">
            <w:pPr>
              <w:widowControl w:val="0"/>
              <w:spacing w:line="240" w:lineRule="auto"/>
              <w:ind w:firstLine="0" w:firstLineChars="0"/>
              <w:jc w:val="center"/>
            </w:pPr>
          </w:p>
        </w:tc>
        <w:tc>
          <w:tcPr>
            <w:tcW w:w="764" w:type="dxa"/>
            <w:vAlign w:val="center"/>
          </w:tcPr>
          <w:p w14:paraId="3CDEE330">
            <w:pPr>
              <w:widowControl w:val="0"/>
              <w:spacing w:line="240" w:lineRule="auto"/>
              <w:ind w:firstLine="0" w:firstLineChars="0"/>
              <w:jc w:val="center"/>
            </w:pPr>
          </w:p>
        </w:tc>
        <w:tc>
          <w:tcPr>
            <w:tcW w:w="764" w:type="dxa"/>
            <w:vAlign w:val="center"/>
          </w:tcPr>
          <w:p w14:paraId="4DBE8892">
            <w:pPr>
              <w:widowControl w:val="0"/>
              <w:spacing w:line="240" w:lineRule="auto"/>
              <w:ind w:firstLine="0" w:firstLineChars="0"/>
              <w:jc w:val="center"/>
            </w:pPr>
          </w:p>
        </w:tc>
        <w:tc>
          <w:tcPr>
            <w:tcW w:w="765" w:type="dxa"/>
            <w:vAlign w:val="center"/>
          </w:tcPr>
          <w:p w14:paraId="218A249B">
            <w:pPr>
              <w:widowControl w:val="0"/>
              <w:spacing w:line="240" w:lineRule="auto"/>
              <w:ind w:firstLine="0" w:firstLineChars="0"/>
              <w:jc w:val="center"/>
            </w:pPr>
          </w:p>
        </w:tc>
        <w:tc>
          <w:tcPr>
            <w:tcW w:w="765" w:type="dxa"/>
            <w:vAlign w:val="center"/>
          </w:tcPr>
          <w:p w14:paraId="4BAB006F">
            <w:pPr>
              <w:widowControl w:val="0"/>
              <w:spacing w:line="240" w:lineRule="auto"/>
              <w:ind w:firstLine="0" w:firstLineChars="0"/>
              <w:jc w:val="center"/>
            </w:pPr>
          </w:p>
        </w:tc>
      </w:tr>
      <w:tr w14:paraId="6CCC6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006DE6AA">
            <w:pPr>
              <w:widowControl w:val="0"/>
              <w:spacing w:line="240" w:lineRule="auto"/>
              <w:ind w:firstLine="0" w:firstLineChars="0"/>
              <w:jc w:val="center"/>
            </w:pPr>
            <w:r>
              <w:rPr>
                <w:rFonts w:hint="eastAsia"/>
              </w:rPr>
              <w:t>15</w:t>
            </w:r>
          </w:p>
        </w:tc>
        <w:tc>
          <w:tcPr>
            <w:tcW w:w="889" w:type="dxa"/>
            <w:vAlign w:val="center"/>
          </w:tcPr>
          <w:p w14:paraId="1336A8F4">
            <w:pPr>
              <w:widowControl w:val="0"/>
              <w:spacing w:line="240" w:lineRule="auto"/>
              <w:ind w:firstLine="0" w:firstLineChars="0"/>
              <w:jc w:val="center"/>
            </w:pPr>
          </w:p>
        </w:tc>
        <w:tc>
          <w:tcPr>
            <w:tcW w:w="1304" w:type="dxa"/>
            <w:vAlign w:val="center"/>
          </w:tcPr>
          <w:p w14:paraId="32FC5E07">
            <w:pPr>
              <w:widowControl w:val="0"/>
              <w:spacing w:line="240" w:lineRule="auto"/>
              <w:ind w:firstLine="0" w:firstLineChars="0"/>
              <w:jc w:val="center"/>
            </w:pPr>
          </w:p>
        </w:tc>
        <w:tc>
          <w:tcPr>
            <w:tcW w:w="654" w:type="dxa"/>
            <w:vAlign w:val="center"/>
          </w:tcPr>
          <w:p w14:paraId="16AFF92A">
            <w:pPr>
              <w:widowControl w:val="0"/>
              <w:spacing w:line="240" w:lineRule="auto"/>
              <w:ind w:firstLine="0" w:firstLineChars="0"/>
              <w:jc w:val="center"/>
            </w:pPr>
          </w:p>
        </w:tc>
        <w:tc>
          <w:tcPr>
            <w:tcW w:w="637" w:type="dxa"/>
            <w:vAlign w:val="center"/>
          </w:tcPr>
          <w:p w14:paraId="77F68E71">
            <w:pPr>
              <w:widowControl w:val="0"/>
              <w:spacing w:line="240" w:lineRule="auto"/>
              <w:ind w:firstLine="0" w:firstLineChars="0"/>
              <w:jc w:val="center"/>
            </w:pPr>
          </w:p>
        </w:tc>
        <w:tc>
          <w:tcPr>
            <w:tcW w:w="764" w:type="dxa"/>
            <w:vAlign w:val="center"/>
          </w:tcPr>
          <w:p w14:paraId="48C386DD">
            <w:pPr>
              <w:widowControl w:val="0"/>
              <w:spacing w:line="240" w:lineRule="auto"/>
              <w:ind w:firstLine="0" w:firstLineChars="0"/>
              <w:jc w:val="center"/>
            </w:pPr>
          </w:p>
        </w:tc>
        <w:tc>
          <w:tcPr>
            <w:tcW w:w="1133" w:type="dxa"/>
            <w:vAlign w:val="center"/>
          </w:tcPr>
          <w:p w14:paraId="1019AD9F">
            <w:pPr>
              <w:widowControl w:val="0"/>
              <w:spacing w:line="240" w:lineRule="auto"/>
              <w:ind w:firstLine="0" w:firstLineChars="0"/>
              <w:jc w:val="center"/>
            </w:pPr>
          </w:p>
        </w:tc>
        <w:tc>
          <w:tcPr>
            <w:tcW w:w="764" w:type="dxa"/>
            <w:vAlign w:val="center"/>
          </w:tcPr>
          <w:p w14:paraId="44265E5D">
            <w:pPr>
              <w:widowControl w:val="0"/>
              <w:spacing w:line="240" w:lineRule="auto"/>
              <w:ind w:firstLine="0" w:firstLineChars="0"/>
              <w:jc w:val="center"/>
            </w:pPr>
          </w:p>
        </w:tc>
        <w:tc>
          <w:tcPr>
            <w:tcW w:w="764" w:type="dxa"/>
            <w:vAlign w:val="center"/>
          </w:tcPr>
          <w:p w14:paraId="0EFEF912">
            <w:pPr>
              <w:widowControl w:val="0"/>
              <w:spacing w:line="240" w:lineRule="auto"/>
              <w:ind w:firstLine="0" w:firstLineChars="0"/>
              <w:jc w:val="center"/>
            </w:pPr>
          </w:p>
        </w:tc>
        <w:tc>
          <w:tcPr>
            <w:tcW w:w="765" w:type="dxa"/>
            <w:vAlign w:val="center"/>
          </w:tcPr>
          <w:p w14:paraId="66A5CE80">
            <w:pPr>
              <w:widowControl w:val="0"/>
              <w:spacing w:line="240" w:lineRule="auto"/>
              <w:ind w:firstLine="0" w:firstLineChars="0"/>
              <w:jc w:val="center"/>
            </w:pPr>
          </w:p>
        </w:tc>
        <w:tc>
          <w:tcPr>
            <w:tcW w:w="765" w:type="dxa"/>
            <w:vAlign w:val="center"/>
          </w:tcPr>
          <w:p w14:paraId="01EFEFBA">
            <w:pPr>
              <w:widowControl w:val="0"/>
              <w:spacing w:line="240" w:lineRule="auto"/>
              <w:ind w:firstLine="0" w:firstLineChars="0"/>
              <w:jc w:val="center"/>
            </w:pPr>
          </w:p>
        </w:tc>
      </w:tr>
      <w:tr w14:paraId="5A94C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780950D1">
            <w:pPr>
              <w:widowControl w:val="0"/>
              <w:spacing w:line="240" w:lineRule="auto"/>
              <w:ind w:firstLine="0" w:firstLineChars="0"/>
              <w:jc w:val="center"/>
            </w:pPr>
            <w:r>
              <w:rPr>
                <w:rFonts w:hint="eastAsia"/>
              </w:rPr>
              <w:t>16</w:t>
            </w:r>
          </w:p>
        </w:tc>
        <w:tc>
          <w:tcPr>
            <w:tcW w:w="889" w:type="dxa"/>
            <w:vAlign w:val="center"/>
          </w:tcPr>
          <w:p w14:paraId="186E5159">
            <w:pPr>
              <w:widowControl w:val="0"/>
              <w:spacing w:line="240" w:lineRule="auto"/>
              <w:ind w:firstLine="0" w:firstLineChars="0"/>
              <w:jc w:val="center"/>
            </w:pPr>
          </w:p>
        </w:tc>
        <w:tc>
          <w:tcPr>
            <w:tcW w:w="1304" w:type="dxa"/>
            <w:vAlign w:val="center"/>
          </w:tcPr>
          <w:p w14:paraId="5B337AB4">
            <w:pPr>
              <w:widowControl w:val="0"/>
              <w:spacing w:line="240" w:lineRule="auto"/>
              <w:ind w:firstLine="0" w:firstLineChars="0"/>
              <w:jc w:val="center"/>
            </w:pPr>
          </w:p>
        </w:tc>
        <w:tc>
          <w:tcPr>
            <w:tcW w:w="654" w:type="dxa"/>
            <w:vAlign w:val="center"/>
          </w:tcPr>
          <w:p w14:paraId="60F72E25">
            <w:pPr>
              <w:widowControl w:val="0"/>
              <w:spacing w:line="240" w:lineRule="auto"/>
              <w:ind w:firstLine="0" w:firstLineChars="0"/>
              <w:jc w:val="center"/>
            </w:pPr>
          </w:p>
        </w:tc>
        <w:tc>
          <w:tcPr>
            <w:tcW w:w="637" w:type="dxa"/>
            <w:vAlign w:val="center"/>
          </w:tcPr>
          <w:p w14:paraId="05B22AB8">
            <w:pPr>
              <w:widowControl w:val="0"/>
              <w:spacing w:line="240" w:lineRule="auto"/>
              <w:ind w:firstLine="0" w:firstLineChars="0"/>
              <w:jc w:val="center"/>
            </w:pPr>
          </w:p>
        </w:tc>
        <w:tc>
          <w:tcPr>
            <w:tcW w:w="764" w:type="dxa"/>
            <w:vAlign w:val="center"/>
          </w:tcPr>
          <w:p w14:paraId="1F1D9030">
            <w:pPr>
              <w:widowControl w:val="0"/>
              <w:spacing w:line="240" w:lineRule="auto"/>
              <w:ind w:firstLine="0" w:firstLineChars="0"/>
              <w:jc w:val="center"/>
            </w:pPr>
          </w:p>
        </w:tc>
        <w:tc>
          <w:tcPr>
            <w:tcW w:w="1133" w:type="dxa"/>
            <w:vAlign w:val="center"/>
          </w:tcPr>
          <w:p w14:paraId="4C3155E2">
            <w:pPr>
              <w:widowControl w:val="0"/>
              <w:spacing w:line="240" w:lineRule="auto"/>
              <w:ind w:firstLine="0" w:firstLineChars="0"/>
              <w:jc w:val="center"/>
            </w:pPr>
          </w:p>
        </w:tc>
        <w:tc>
          <w:tcPr>
            <w:tcW w:w="764" w:type="dxa"/>
            <w:vAlign w:val="center"/>
          </w:tcPr>
          <w:p w14:paraId="1BB88DC7">
            <w:pPr>
              <w:widowControl w:val="0"/>
              <w:spacing w:line="240" w:lineRule="auto"/>
              <w:ind w:firstLine="0" w:firstLineChars="0"/>
              <w:jc w:val="center"/>
            </w:pPr>
          </w:p>
        </w:tc>
        <w:tc>
          <w:tcPr>
            <w:tcW w:w="764" w:type="dxa"/>
            <w:vAlign w:val="center"/>
          </w:tcPr>
          <w:p w14:paraId="1223DA7F">
            <w:pPr>
              <w:widowControl w:val="0"/>
              <w:spacing w:line="240" w:lineRule="auto"/>
              <w:ind w:firstLine="0" w:firstLineChars="0"/>
              <w:jc w:val="center"/>
            </w:pPr>
          </w:p>
        </w:tc>
        <w:tc>
          <w:tcPr>
            <w:tcW w:w="765" w:type="dxa"/>
            <w:vAlign w:val="center"/>
          </w:tcPr>
          <w:p w14:paraId="0481ED64">
            <w:pPr>
              <w:widowControl w:val="0"/>
              <w:spacing w:line="240" w:lineRule="auto"/>
              <w:ind w:firstLine="0" w:firstLineChars="0"/>
              <w:jc w:val="center"/>
            </w:pPr>
          </w:p>
        </w:tc>
        <w:tc>
          <w:tcPr>
            <w:tcW w:w="765" w:type="dxa"/>
            <w:vAlign w:val="center"/>
          </w:tcPr>
          <w:p w14:paraId="077CD219">
            <w:pPr>
              <w:widowControl w:val="0"/>
              <w:spacing w:line="240" w:lineRule="auto"/>
              <w:ind w:firstLine="0" w:firstLineChars="0"/>
              <w:jc w:val="center"/>
            </w:pPr>
          </w:p>
        </w:tc>
      </w:tr>
      <w:tr w14:paraId="2F402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18DB9710">
            <w:pPr>
              <w:widowControl w:val="0"/>
              <w:spacing w:line="240" w:lineRule="auto"/>
              <w:ind w:firstLine="0" w:firstLineChars="0"/>
              <w:jc w:val="center"/>
            </w:pPr>
            <w:r>
              <w:rPr>
                <w:rFonts w:hint="eastAsia"/>
              </w:rPr>
              <w:t>17</w:t>
            </w:r>
          </w:p>
        </w:tc>
        <w:tc>
          <w:tcPr>
            <w:tcW w:w="889" w:type="dxa"/>
            <w:vAlign w:val="center"/>
          </w:tcPr>
          <w:p w14:paraId="3B3EF0C4">
            <w:pPr>
              <w:widowControl w:val="0"/>
              <w:spacing w:line="240" w:lineRule="auto"/>
              <w:ind w:firstLine="0" w:firstLineChars="0"/>
              <w:jc w:val="center"/>
            </w:pPr>
          </w:p>
        </w:tc>
        <w:tc>
          <w:tcPr>
            <w:tcW w:w="1304" w:type="dxa"/>
            <w:vAlign w:val="center"/>
          </w:tcPr>
          <w:p w14:paraId="78A772A1">
            <w:pPr>
              <w:widowControl w:val="0"/>
              <w:spacing w:line="240" w:lineRule="auto"/>
              <w:ind w:firstLine="0" w:firstLineChars="0"/>
              <w:jc w:val="center"/>
            </w:pPr>
          </w:p>
        </w:tc>
        <w:tc>
          <w:tcPr>
            <w:tcW w:w="654" w:type="dxa"/>
            <w:vAlign w:val="center"/>
          </w:tcPr>
          <w:p w14:paraId="4AE58C1D">
            <w:pPr>
              <w:widowControl w:val="0"/>
              <w:spacing w:line="240" w:lineRule="auto"/>
              <w:ind w:firstLine="0" w:firstLineChars="0"/>
              <w:jc w:val="center"/>
            </w:pPr>
          </w:p>
        </w:tc>
        <w:tc>
          <w:tcPr>
            <w:tcW w:w="637" w:type="dxa"/>
            <w:vAlign w:val="center"/>
          </w:tcPr>
          <w:p w14:paraId="633D17AA">
            <w:pPr>
              <w:widowControl w:val="0"/>
              <w:spacing w:line="240" w:lineRule="auto"/>
              <w:ind w:firstLine="0" w:firstLineChars="0"/>
              <w:jc w:val="center"/>
            </w:pPr>
          </w:p>
        </w:tc>
        <w:tc>
          <w:tcPr>
            <w:tcW w:w="764" w:type="dxa"/>
            <w:vAlign w:val="center"/>
          </w:tcPr>
          <w:p w14:paraId="39C1BA83">
            <w:pPr>
              <w:widowControl w:val="0"/>
              <w:spacing w:line="240" w:lineRule="auto"/>
              <w:ind w:firstLine="0" w:firstLineChars="0"/>
              <w:jc w:val="center"/>
            </w:pPr>
          </w:p>
        </w:tc>
        <w:tc>
          <w:tcPr>
            <w:tcW w:w="1133" w:type="dxa"/>
            <w:vAlign w:val="center"/>
          </w:tcPr>
          <w:p w14:paraId="581D00B1">
            <w:pPr>
              <w:widowControl w:val="0"/>
              <w:spacing w:line="240" w:lineRule="auto"/>
              <w:ind w:firstLine="0" w:firstLineChars="0"/>
              <w:jc w:val="center"/>
            </w:pPr>
          </w:p>
        </w:tc>
        <w:tc>
          <w:tcPr>
            <w:tcW w:w="764" w:type="dxa"/>
            <w:vAlign w:val="center"/>
          </w:tcPr>
          <w:p w14:paraId="6BB05C9E">
            <w:pPr>
              <w:widowControl w:val="0"/>
              <w:spacing w:line="240" w:lineRule="auto"/>
              <w:ind w:firstLine="0" w:firstLineChars="0"/>
              <w:jc w:val="center"/>
            </w:pPr>
          </w:p>
        </w:tc>
        <w:tc>
          <w:tcPr>
            <w:tcW w:w="764" w:type="dxa"/>
            <w:vAlign w:val="center"/>
          </w:tcPr>
          <w:p w14:paraId="67DDFCD4">
            <w:pPr>
              <w:widowControl w:val="0"/>
              <w:spacing w:line="240" w:lineRule="auto"/>
              <w:ind w:firstLine="0" w:firstLineChars="0"/>
              <w:jc w:val="center"/>
            </w:pPr>
          </w:p>
        </w:tc>
        <w:tc>
          <w:tcPr>
            <w:tcW w:w="765" w:type="dxa"/>
            <w:vAlign w:val="center"/>
          </w:tcPr>
          <w:p w14:paraId="4A392C5A">
            <w:pPr>
              <w:widowControl w:val="0"/>
              <w:spacing w:line="240" w:lineRule="auto"/>
              <w:ind w:firstLine="0" w:firstLineChars="0"/>
              <w:jc w:val="center"/>
            </w:pPr>
          </w:p>
        </w:tc>
        <w:tc>
          <w:tcPr>
            <w:tcW w:w="765" w:type="dxa"/>
            <w:vAlign w:val="center"/>
          </w:tcPr>
          <w:p w14:paraId="0E6762A6">
            <w:pPr>
              <w:widowControl w:val="0"/>
              <w:spacing w:line="240" w:lineRule="auto"/>
              <w:ind w:firstLine="0" w:firstLineChars="0"/>
              <w:jc w:val="center"/>
            </w:pPr>
          </w:p>
        </w:tc>
      </w:tr>
      <w:tr w14:paraId="50E3E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4B3D6DEF">
            <w:pPr>
              <w:widowControl w:val="0"/>
              <w:spacing w:line="240" w:lineRule="auto"/>
              <w:ind w:firstLine="0" w:firstLineChars="0"/>
              <w:jc w:val="center"/>
            </w:pPr>
            <w:r>
              <w:rPr>
                <w:rFonts w:hint="eastAsia"/>
              </w:rPr>
              <w:t>18</w:t>
            </w:r>
          </w:p>
        </w:tc>
        <w:tc>
          <w:tcPr>
            <w:tcW w:w="889" w:type="dxa"/>
            <w:vAlign w:val="center"/>
          </w:tcPr>
          <w:p w14:paraId="0EAF3BE0">
            <w:pPr>
              <w:widowControl w:val="0"/>
              <w:spacing w:line="240" w:lineRule="auto"/>
              <w:ind w:firstLine="0" w:firstLineChars="0"/>
              <w:jc w:val="center"/>
            </w:pPr>
          </w:p>
        </w:tc>
        <w:tc>
          <w:tcPr>
            <w:tcW w:w="1304" w:type="dxa"/>
            <w:vAlign w:val="center"/>
          </w:tcPr>
          <w:p w14:paraId="7398AFE0">
            <w:pPr>
              <w:widowControl w:val="0"/>
              <w:spacing w:line="240" w:lineRule="auto"/>
              <w:ind w:firstLine="0" w:firstLineChars="0"/>
              <w:jc w:val="center"/>
            </w:pPr>
          </w:p>
        </w:tc>
        <w:tc>
          <w:tcPr>
            <w:tcW w:w="654" w:type="dxa"/>
            <w:vAlign w:val="center"/>
          </w:tcPr>
          <w:p w14:paraId="43A02AB9">
            <w:pPr>
              <w:widowControl w:val="0"/>
              <w:spacing w:line="240" w:lineRule="auto"/>
              <w:ind w:firstLine="0" w:firstLineChars="0"/>
              <w:jc w:val="center"/>
            </w:pPr>
          </w:p>
        </w:tc>
        <w:tc>
          <w:tcPr>
            <w:tcW w:w="637" w:type="dxa"/>
            <w:vAlign w:val="center"/>
          </w:tcPr>
          <w:p w14:paraId="7293C8E8">
            <w:pPr>
              <w:widowControl w:val="0"/>
              <w:spacing w:line="240" w:lineRule="auto"/>
              <w:ind w:firstLine="0" w:firstLineChars="0"/>
              <w:jc w:val="center"/>
            </w:pPr>
          </w:p>
        </w:tc>
        <w:tc>
          <w:tcPr>
            <w:tcW w:w="764" w:type="dxa"/>
            <w:vAlign w:val="center"/>
          </w:tcPr>
          <w:p w14:paraId="2A8F53FC">
            <w:pPr>
              <w:widowControl w:val="0"/>
              <w:spacing w:line="240" w:lineRule="auto"/>
              <w:ind w:firstLine="0" w:firstLineChars="0"/>
              <w:jc w:val="center"/>
            </w:pPr>
          </w:p>
        </w:tc>
        <w:tc>
          <w:tcPr>
            <w:tcW w:w="1133" w:type="dxa"/>
            <w:vAlign w:val="center"/>
          </w:tcPr>
          <w:p w14:paraId="5795AD02">
            <w:pPr>
              <w:widowControl w:val="0"/>
              <w:spacing w:line="240" w:lineRule="auto"/>
              <w:ind w:firstLine="0" w:firstLineChars="0"/>
              <w:jc w:val="center"/>
            </w:pPr>
          </w:p>
        </w:tc>
        <w:tc>
          <w:tcPr>
            <w:tcW w:w="764" w:type="dxa"/>
            <w:vAlign w:val="center"/>
          </w:tcPr>
          <w:p w14:paraId="241B03FD">
            <w:pPr>
              <w:widowControl w:val="0"/>
              <w:spacing w:line="240" w:lineRule="auto"/>
              <w:ind w:firstLine="0" w:firstLineChars="0"/>
              <w:jc w:val="center"/>
            </w:pPr>
          </w:p>
        </w:tc>
        <w:tc>
          <w:tcPr>
            <w:tcW w:w="764" w:type="dxa"/>
            <w:vAlign w:val="center"/>
          </w:tcPr>
          <w:p w14:paraId="3B74C7B8">
            <w:pPr>
              <w:widowControl w:val="0"/>
              <w:spacing w:line="240" w:lineRule="auto"/>
              <w:ind w:firstLine="0" w:firstLineChars="0"/>
              <w:jc w:val="center"/>
            </w:pPr>
          </w:p>
        </w:tc>
        <w:tc>
          <w:tcPr>
            <w:tcW w:w="765" w:type="dxa"/>
            <w:vAlign w:val="center"/>
          </w:tcPr>
          <w:p w14:paraId="0A1EAA46">
            <w:pPr>
              <w:widowControl w:val="0"/>
              <w:spacing w:line="240" w:lineRule="auto"/>
              <w:ind w:firstLine="0" w:firstLineChars="0"/>
              <w:jc w:val="center"/>
            </w:pPr>
          </w:p>
        </w:tc>
        <w:tc>
          <w:tcPr>
            <w:tcW w:w="765" w:type="dxa"/>
            <w:vAlign w:val="center"/>
          </w:tcPr>
          <w:p w14:paraId="5576FD65">
            <w:pPr>
              <w:widowControl w:val="0"/>
              <w:spacing w:line="240" w:lineRule="auto"/>
              <w:ind w:firstLine="0" w:firstLineChars="0"/>
              <w:jc w:val="center"/>
            </w:pPr>
          </w:p>
        </w:tc>
      </w:tr>
      <w:tr w14:paraId="5E067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532875B9">
            <w:pPr>
              <w:widowControl w:val="0"/>
              <w:spacing w:line="240" w:lineRule="auto"/>
              <w:ind w:firstLine="0" w:firstLineChars="0"/>
              <w:jc w:val="center"/>
            </w:pPr>
            <w:r>
              <w:rPr>
                <w:rFonts w:hint="eastAsia"/>
              </w:rPr>
              <w:t>19</w:t>
            </w:r>
          </w:p>
        </w:tc>
        <w:tc>
          <w:tcPr>
            <w:tcW w:w="889" w:type="dxa"/>
            <w:vAlign w:val="center"/>
          </w:tcPr>
          <w:p w14:paraId="52391685">
            <w:pPr>
              <w:widowControl w:val="0"/>
              <w:spacing w:line="240" w:lineRule="auto"/>
              <w:ind w:firstLine="0" w:firstLineChars="0"/>
              <w:jc w:val="center"/>
            </w:pPr>
          </w:p>
        </w:tc>
        <w:tc>
          <w:tcPr>
            <w:tcW w:w="1304" w:type="dxa"/>
            <w:vAlign w:val="center"/>
          </w:tcPr>
          <w:p w14:paraId="7321BDC3">
            <w:pPr>
              <w:widowControl w:val="0"/>
              <w:spacing w:line="240" w:lineRule="auto"/>
              <w:ind w:firstLine="0" w:firstLineChars="0"/>
              <w:jc w:val="center"/>
            </w:pPr>
          </w:p>
        </w:tc>
        <w:tc>
          <w:tcPr>
            <w:tcW w:w="654" w:type="dxa"/>
            <w:vAlign w:val="center"/>
          </w:tcPr>
          <w:p w14:paraId="7079CCAF">
            <w:pPr>
              <w:widowControl w:val="0"/>
              <w:spacing w:line="240" w:lineRule="auto"/>
              <w:ind w:firstLine="0" w:firstLineChars="0"/>
              <w:jc w:val="center"/>
            </w:pPr>
          </w:p>
        </w:tc>
        <w:tc>
          <w:tcPr>
            <w:tcW w:w="637" w:type="dxa"/>
            <w:vAlign w:val="center"/>
          </w:tcPr>
          <w:p w14:paraId="0BAE56AE">
            <w:pPr>
              <w:widowControl w:val="0"/>
              <w:spacing w:line="240" w:lineRule="auto"/>
              <w:ind w:firstLine="0" w:firstLineChars="0"/>
              <w:jc w:val="center"/>
            </w:pPr>
          </w:p>
        </w:tc>
        <w:tc>
          <w:tcPr>
            <w:tcW w:w="764" w:type="dxa"/>
            <w:vAlign w:val="center"/>
          </w:tcPr>
          <w:p w14:paraId="3A40037D">
            <w:pPr>
              <w:widowControl w:val="0"/>
              <w:spacing w:line="240" w:lineRule="auto"/>
              <w:ind w:firstLine="0" w:firstLineChars="0"/>
              <w:jc w:val="center"/>
            </w:pPr>
          </w:p>
        </w:tc>
        <w:tc>
          <w:tcPr>
            <w:tcW w:w="1133" w:type="dxa"/>
            <w:vAlign w:val="center"/>
          </w:tcPr>
          <w:p w14:paraId="44D2A7AE">
            <w:pPr>
              <w:widowControl w:val="0"/>
              <w:spacing w:line="240" w:lineRule="auto"/>
              <w:ind w:firstLine="0" w:firstLineChars="0"/>
              <w:jc w:val="center"/>
            </w:pPr>
          </w:p>
        </w:tc>
        <w:tc>
          <w:tcPr>
            <w:tcW w:w="764" w:type="dxa"/>
            <w:vAlign w:val="center"/>
          </w:tcPr>
          <w:p w14:paraId="60778CCF">
            <w:pPr>
              <w:widowControl w:val="0"/>
              <w:spacing w:line="240" w:lineRule="auto"/>
              <w:ind w:firstLine="0" w:firstLineChars="0"/>
              <w:jc w:val="center"/>
            </w:pPr>
          </w:p>
        </w:tc>
        <w:tc>
          <w:tcPr>
            <w:tcW w:w="764" w:type="dxa"/>
            <w:vAlign w:val="center"/>
          </w:tcPr>
          <w:p w14:paraId="6561CFCB">
            <w:pPr>
              <w:widowControl w:val="0"/>
              <w:spacing w:line="240" w:lineRule="auto"/>
              <w:ind w:firstLine="0" w:firstLineChars="0"/>
              <w:jc w:val="center"/>
            </w:pPr>
          </w:p>
        </w:tc>
        <w:tc>
          <w:tcPr>
            <w:tcW w:w="765" w:type="dxa"/>
            <w:vAlign w:val="center"/>
          </w:tcPr>
          <w:p w14:paraId="746D7C7A">
            <w:pPr>
              <w:widowControl w:val="0"/>
              <w:spacing w:line="240" w:lineRule="auto"/>
              <w:ind w:firstLine="0" w:firstLineChars="0"/>
              <w:jc w:val="center"/>
            </w:pPr>
          </w:p>
        </w:tc>
        <w:tc>
          <w:tcPr>
            <w:tcW w:w="765" w:type="dxa"/>
            <w:vAlign w:val="center"/>
          </w:tcPr>
          <w:p w14:paraId="274D5D71">
            <w:pPr>
              <w:widowControl w:val="0"/>
              <w:spacing w:line="240" w:lineRule="auto"/>
              <w:ind w:firstLine="0" w:firstLineChars="0"/>
              <w:jc w:val="center"/>
            </w:pPr>
          </w:p>
        </w:tc>
      </w:tr>
      <w:tr w14:paraId="2DBE2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39ADD0D1">
            <w:pPr>
              <w:widowControl w:val="0"/>
              <w:spacing w:line="240" w:lineRule="auto"/>
              <w:ind w:firstLine="0" w:firstLineChars="0"/>
              <w:jc w:val="center"/>
            </w:pPr>
            <w:r>
              <w:rPr>
                <w:rFonts w:hint="eastAsia"/>
              </w:rPr>
              <w:t>20</w:t>
            </w:r>
          </w:p>
        </w:tc>
        <w:tc>
          <w:tcPr>
            <w:tcW w:w="889" w:type="dxa"/>
            <w:vAlign w:val="center"/>
          </w:tcPr>
          <w:p w14:paraId="5C30AE20">
            <w:pPr>
              <w:widowControl w:val="0"/>
              <w:spacing w:line="240" w:lineRule="auto"/>
              <w:ind w:firstLine="0" w:firstLineChars="0"/>
              <w:jc w:val="center"/>
            </w:pPr>
          </w:p>
        </w:tc>
        <w:tc>
          <w:tcPr>
            <w:tcW w:w="1304" w:type="dxa"/>
            <w:vAlign w:val="center"/>
          </w:tcPr>
          <w:p w14:paraId="5294F769">
            <w:pPr>
              <w:widowControl w:val="0"/>
              <w:spacing w:line="240" w:lineRule="auto"/>
              <w:ind w:firstLine="0" w:firstLineChars="0"/>
              <w:jc w:val="center"/>
            </w:pPr>
          </w:p>
        </w:tc>
        <w:tc>
          <w:tcPr>
            <w:tcW w:w="654" w:type="dxa"/>
            <w:vAlign w:val="center"/>
          </w:tcPr>
          <w:p w14:paraId="37E465AA">
            <w:pPr>
              <w:widowControl w:val="0"/>
              <w:spacing w:line="240" w:lineRule="auto"/>
              <w:ind w:firstLine="0" w:firstLineChars="0"/>
              <w:jc w:val="center"/>
            </w:pPr>
          </w:p>
        </w:tc>
        <w:tc>
          <w:tcPr>
            <w:tcW w:w="637" w:type="dxa"/>
            <w:vAlign w:val="center"/>
          </w:tcPr>
          <w:p w14:paraId="501D0186">
            <w:pPr>
              <w:widowControl w:val="0"/>
              <w:spacing w:line="240" w:lineRule="auto"/>
              <w:ind w:firstLine="0" w:firstLineChars="0"/>
              <w:jc w:val="center"/>
            </w:pPr>
          </w:p>
        </w:tc>
        <w:tc>
          <w:tcPr>
            <w:tcW w:w="764" w:type="dxa"/>
            <w:vAlign w:val="center"/>
          </w:tcPr>
          <w:p w14:paraId="03D0588F">
            <w:pPr>
              <w:widowControl w:val="0"/>
              <w:spacing w:line="240" w:lineRule="auto"/>
              <w:ind w:firstLine="0" w:firstLineChars="0"/>
              <w:jc w:val="center"/>
            </w:pPr>
          </w:p>
        </w:tc>
        <w:tc>
          <w:tcPr>
            <w:tcW w:w="1133" w:type="dxa"/>
            <w:vAlign w:val="center"/>
          </w:tcPr>
          <w:p w14:paraId="6AE2287C">
            <w:pPr>
              <w:widowControl w:val="0"/>
              <w:spacing w:line="240" w:lineRule="auto"/>
              <w:ind w:firstLine="0" w:firstLineChars="0"/>
              <w:jc w:val="center"/>
            </w:pPr>
          </w:p>
        </w:tc>
        <w:tc>
          <w:tcPr>
            <w:tcW w:w="764" w:type="dxa"/>
            <w:vAlign w:val="center"/>
          </w:tcPr>
          <w:p w14:paraId="01380247">
            <w:pPr>
              <w:widowControl w:val="0"/>
              <w:spacing w:line="240" w:lineRule="auto"/>
              <w:ind w:firstLine="0" w:firstLineChars="0"/>
              <w:jc w:val="center"/>
            </w:pPr>
          </w:p>
        </w:tc>
        <w:tc>
          <w:tcPr>
            <w:tcW w:w="764" w:type="dxa"/>
            <w:vAlign w:val="center"/>
          </w:tcPr>
          <w:p w14:paraId="5CBC208D">
            <w:pPr>
              <w:widowControl w:val="0"/>
              <w:spacing w:line="240" w:lineRule="auto"/>
              <w:ind w:firstLine="0" w:firstLineChars="0"/>
              <w:jc w:val="center"/>
            </w:pPr>
          </w:p>
        </w:tc>
        <w:tc>
          <w:tcPr>
            <w:tcW w:w="765" w:type="dxa"/>
            <w:vAlign w:val="center"/>
          </w:tcPr>
          <w:p w14:paraId="3839BB5C">
            <w:pPr>
              <w:widowControl w:val="0"/>
              <w:spacing w:line="240" w:lineRule="auto"/>
              <w:ind w:firstLine="0" w:firstLineChars="0"/>
              <w:jc w:val="center"/>
            </w:pPr>
          </w:p>
        </w:tc>
        <w:tc>
          <w:tcPr>
            <w:tcW w:w="765" w:type="dxa"/>
            <w:vAlign w:val="center"/>
          </w:tcPr>
          <w:p w14:paraId="19D57A36">
            <w:pPr>
              <w:widowControl w:val="0"/>
              <w:spacing w:line="240" w:lineRule="auto"/>
              <w:ind w:firstLine="0" w:firstLineChars="0"/>
              <w:jc w:val="center"/>
            </w:pPr>
          </w:p>
        </w:tc>
      </w:tr>
      <w:tr w14:paraId="7DA53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74321393">
            <w:pPr>
              <w:widowControl w:val="0"/>
              <w:spacing w:line="240" w:lineRule="auto"/>
              <w:ind w:firstLine="0" w:firstLineChars="0"/>
              <w:jc w:val="center"/>
            </w:pPr>
            <w:r>
              <w:rPr>
                <w:rFonts w:hint="eastAsia"/>
              </w:rPr>
              <w:t>21</w:t>
            </w:r>
          </w:p>
        </w:tc>
        <w:tc>
          <w:tcPr>
            <w:tcW w:w="889" w:type="dxa"/>
            <w:vAlign w:val="center"/>
          </w:tcPr>
          <w:p w14:paraId="4025DDD2">
            <w:pPr>
              <w:widowControl w:val="0"/>
              <w:spacing w:line="240" w:lineRule="auto"/>
              <w:ind w:firstLine="0" w:firstLineChars="0"/>
              <w:jc w:val="center"/>
            </w:pPr>
          </w:p>
        </w:tc>
        <w:tc>
          <w:tcPr>
            <w:tcW w:w="1304" w:type="dxa"/>
            <w:vAlign w:val="center"/>
          </w:tcPr>
          <w:p w14:paraId="07BB9F07">
            <w:pPr>
              <w:widowControl w:val="0"/>
              <w:spacing w:line="240" w:lineRule="auto"/>
              <w:ind w:firstLine="0" w:firstLineChars="0"/>
              <w:jc w:val="center"/>
            </w:pPr>
          </w:p>
        </w:tc>
        <w:tc>
          <w:tcPr>
            <w:tcW w:w="654" w:type="dxa"/>
            <w:vAlign w:val="center"/>
          </w:tcPr>
          <w:p w14:paraId="43D08BEF">
            <w:pPr>
              <w:widowControl w:val="0"/>
              <w:spacing w:line="240" w:lineRule="auto"/>
              <w:ind w:firstLine="0" w:firstLineChars="0"/>
              <w:jc w:val="center"/>
            </w:pPr>
          </w:p>
        </w:tc>
        <w:tc>
          <w:tcPr>
            <w:tcW w:w="637" w:type="dxa"/>
            <w:vAlign w:val="center"/>
          </w:tcPr>
          <w:p w14:paraId="3295391A">
            <w:pPr>
              <w:widowControl w:val="0"/>
              <w:spacing w:line="240" w:lineRule="auto"/>
              <w:ind w:firstLine="0" w:firstLineChars="0"/>
              <w:jc w:val="center"/>
            </w:pPr>
          </w:p>
        </w:tc>
        <w:tc>
          <w:tcPr>
            <w:tcW w:w="764" w:type="dxa"/>
            <w:vAlign w:val="center"/>
          </w:tcPr>
          <w:p w14:paraId="21BC55CA">
            <w:pPr>
              <w:widowControl w:val="0"/>
              <w:spacing w:line="240" w:lineRule="auto"/>
              <w:ind w:firstLine="0" w:firstLineChars="0"/>
              <w:jc w:val="center"/>
            </w:pPr>
          </w:p>
        </w:tc>
        <w:tc>
          <w:tcPr>
            <w:tcW w:w="1133" w:type="dxa"/>
            <w:vAlign w:val="center"/>
          </w:tcPr>
          <w:p w14:paraId="5133FAD4">
            <w:pPr>
              <w:widowControl w:val="0"/>
              <w:spacing w:line="240" w:lineRule="auto"/>
              <w:ind w:firstLine="0" w:firstLineChars="0"/>
              <w:jc w:val="center"/>
            </w:pPr>
          </w:p>
        </w:tc>
        <w:tc>
          <w:tcPr>
            <w:tcW w:w="764" w:type="dxa"/>
            <w:vAlign w:val="center"/>
          </w:tcPr>
          <w:p w14:paraId="522A65B1">
            <w:pPr>
              <w:widowControl w:val="0"/>
              <w:spacing w:line="240" w:lineRule="auto"/>
              <w:ind w:firstLine="0" w:firstLineChars="0"/>
              <w:jc w:val="center"/>
            </w:pPr>
          </w:p>
        </w:tc>
        <w:tc>
          <w:tcPr>
            <w:tcW w:w="764" w:type="dxa"/>
            <w:vAlign w:val="center"/>
          </w:tcPr>
          <w:p w14:paraId="3F8C0680">
            <w:pPr>
              <w:widowControl w:val="0"/>
              <w:spacing w:line="240" w:lineRule="auto"/>
              <w:ind w:firstLine="0" w:firstLineChars="0"/>
              <w:jc w:val="center"/>
            </w:pPr>
          </w:p>
        </w:tc>
        <w:tc>
          <w:tcPr>
            <w:tcW w:w="765" w:type="dxa"/>
            <w:vAlign w:val="center"/>
          </w:tcPr>
          <w:p w14:paraId="79E2361C">
            <w:pPr>
              <w:widowControl w:val="0"/>
              <w:spacing w:line="240" w:lineRule="auto"/>
              <w:ind w:firstLine="0" w:firstLineChars="0"/>
              <w:jc w:val="center"/>
            </w:pPr>
          </w:p>
        </w:tc>
        <w:tc>
          <w:tcPr>
            <w:tcW w:w="765" w:type="dxa"/>
            <w:vAlign w:val="center"/>
          </w:tcPr>
          <w:p w14:paraId="7642D9AA">
            <w:pPr>
              <w:widowControl w:val="0"/>
              <w:spacing w:line="240" w:lineRule="auto"/>
              <w:ind w:firstLine="0" w:firstLineChars="0"/>
              <w:jc w:val="center"/>
            </w:pPr>
          </w:p>
        </w:tc>
      </w:tr>
      <w:tr w14:paraId="1B119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45DF32A3">
            <w:pPr>
              <w:widowControl w:val="0"/>
              <w:spacing w:line="240" w:lineRule="auto"/>
              <w:ind w:firstLine="0" w:firstLineChars="0"/>
              <w:jc w:val="center"/>
            </w:pPr>
            <w:r>
              <w:rPr>
                <w:rFonts w:hint="eastAsia"/>
              </w:rPr>
              <w:t>22</w:t>
            </w:r>
          </w:p>
        </w:tc>
        <w:tc>
          <w:tcPr>
            <w:tcW w:w="889" w:type="dxa"/>
            <w:vAlign w:val="center"/>
          </w:tcPr>
          <w:p w14:paraId="1EA67075">
            <w:pPr>
              <w:widowControl w:val="0"/>
              <w:spacing w:line="240" w:lineRule="auto"/>
              <w:ind w:firstLine="0" w:firstLineChars="0"/>
              <w:jc w:val="center"/>
            </w:pPr>
          </w:p>
        </w:tc>
        <w:tc>
          <w:tcPr>
            <w:tcW w:w="1304" w:type="dxa"/>
            <w:vAlign w:val="center"/>
          </w:tcPr>
          <w:p w14:paraId="7234F8CA">
            <w:pPr>
              <w:widowControl w:val="0"/>
              <w:spacing w:line="240" w:lineRule="auto"/>
              <w:ind w:firstLine="0" w:firstLineChars="0"/>
              <w:jc w:val="center"/>
            </w:pPr>
          </w:p>
        </w:tc>
        <w:tc>
          <w:tcPr>
            <w:tcW w:w="654" w:type="dxa"/>
            <w:vAlign w:val="center"/>
          </w:tcPr>
          <w:p w14:paraId="753957BD">
            <w:pPr>
              <w:widowControl w:val="0"/>
              <w:spacing w:line="240" w:lineRule="auto"/>
              <w:ind w:firstLine="0" w:firstLineChars="0"/>
              <w:jc w:val="center"/>
            </w:pPr>
          </w:p>
        </w:tc>
        <w:tc>
          <w:tcPr>
            <w:tcW w:w="637" w:type="dxa"/>
            <w:vAlign w:val="center"/>
          </w:tcPr>
          <w:p w14:paraId="33E7DF54">
            <w:pPr>
              <w:widowControl w:val="0"/>
              <w:spacing w:line="240" w:lineRule="auto"/>
              <w:ind w:firstLine="0" w:firstLineChars="0"/>
              <w:jc w:val="center"/>
            </w:pPr>
          </w:p>
        </w:tc>
        <w:tc>
          <w:tcPr>
            <w:tcW w:w="764" w:type="dxa"/>
            <w:vAlign w:val="center"/>
          </w:tcPr>
          <w:p w14:paraId="616F621F">
            <w:pPr>
              <w:widowControl w:val="0"/>
              <w:spacing w:line="240" w:lineRule="auto"/>
              <w:ind w:firstLine="0" w:firstLineChars="0"/>
              <w:jc w:val="center"/>
            </w:pPr>
          </w:p>
        </w:tc>
        <w:tc>
          <w:tcPr>
            <w:tcW w:w="1133" w:type="dxa"/>
            <w:vAlign w:val="center"/>
          </w:tcPr>
          <w:p w14:paraId="0914197B">
            <w:pPr>
              <w:widowControl w:val="0"/>
              <w:spacing w:line="240" w:lineRule="auto"/>
              <w:ind w:firstLine="0" w:firstLineChars="0"/>
              <w:jc w:val="center"/>
            </w:pPr>
          </w:p>
        </w:tc>
        <w:tc>
          <w:tcPr>
            <w:tcW w:w="764" w:type="dxa"/>
            <w:vAlign w:val="center"/>
          </w:tcPr>
          <w:p w14:paraId="63222B78">
            <w:pPr>
              <w:widowControl w:val="0"/>
              <w:spacing w:line="240" w:lineRule="auto"/>
              <w:ind w:firstLine="0" w:firstLineChars="0"/>
              <w:jc w:val="center"/>
            </w:pPr>
          </w:p>
        </w:tc>
        <w:tc>
          <w:tcPr>
            <w:tcW w:w="764" w:type="dxa"/>
            <w:vAlign w:val="center"/>
          </w:tcPr>
          <w:p w14:paraId="30EA85BE">
            <w:pPr>
              <w:widowControl w:val="0"/>
              <w:spacing w:line="240" w:lineRule="auto"/>
              <w:ind w:firstLine="0" w:firstLineChars="0"/>
              <w:jc w:val="center"/>
            </w:pPr>
          </w:p>
        </w:tc>
        <w:tc>
          <w:tcPr>
            <w:tcW w:w="765" w:type="dxa"/>
            <w:vAlign w:val="center"/>
          </w:tcPr>
          <w:p w14:paraId="30199A20">
            <w:pPr>
              <w:widowControl w:val="0"/>
              <w:spacing w:line="240" w:lineRule="auto"/>
              <w:ind w:firstLine="0" w:firstLineChars="0"/>
              <w:jc w:val="center"/>
            </w:pPr>
          </w:p>
        </w:tc>
        <w:tc>
          <w:tcPr>
            <w:tcW w:w="765" w:type="dxa"/>
            <w:vAlign w:val="center"/>
          </w:tcPr>
          <w:p w14:paraId="613A77C5">
            <w:pPr>
              <w:widowControl w:val="0"/>
              <w:spacing w:line="240" w:lineRule="auto"/>
              <w:ind w:firstLine="0" w:firstLineChars="0"/>
              <w:jc w:val="center"/>
            </w:pPr>
          </w:p>
        </w:tc>
      </w:tr>
    </w:tbl>
    <w:p w14:paraId="0D185C8F">
      <w:pPr>
        <w:tabs>
          <w:tab w:val="left" w:pos="720"/>
        </w:tabs>
        <w:ind w:firstLine="428"/>
        <w:rPr>
          <w:rFonts w:ascii="宋体" w:hAnsi="宋体"/>
          <w:b/>
          <w:bCs/>
          <w:szCs w:val="21"/>
        </w:rPr>
      </w:pPr>
    </w:p>
    <w:p w14:paraId="7AA3A327">
      <w:pPr>
        <w:autoSpaceDE w:val="0"/>
        <w:autoSpaceDN w:val="0"/>
        <w:adjustRightInd w:val="0"/>
        <w:ind w:firstLine="420"/>
        <w:jc w:val="left"/>
        <w:rPr>
          <w:rFonts w:ascii="宋体" w:hAnsi="宋体"/>
          <w:szCs w:val="21"/>
        </w:rPr>
      </w:pPr>
    </w:p>
    <w:p w14:paraId="72B6FAC3">
      <w:pPr>
        <w:ind w:firstLine="420"/>
      </w:pPr>
    </w:p>
    <w:p w14:paraId="70BF04BF">
      <w:pPr>
        <w:ind w:firstLine="420"/>
      </w:pPr>
    </w:p>
    <w:p w14:paraId="6B26019B">
      <w:pPr>
        <w:ind w:firstLine="420"/>
      </w:pPr>
    </w:p>
    <w:p w14:paraId="2C1878A4">
      <w:pPr>
        <w:ind w:firstLine="420"/>
      </w:pPr>
    </w:p>
    <w:p w14:paraId="41D9039E">
      <w:pPr>
        <w:ind w:firstLine="420"/>
      </w:pPr>
    </w:p>
    <w:p w14:paraId="3D6CAEA6">
      <w:pPr>
        <w:ind w:firstLine="420"/>
      </w:pPr>
    </w:p>
    <w:p w14:paraId="0D74DF83">
      <w:pPr>
        <w:ind w:firstLine="420"/>
      </w:pPr>
    </w:p>
    <w:p w14:paraId="57AF69D3">
      <w:pPr>
        <w:ind w:firstLine="420"/>
      </w:pPr>
    </w:p>
    <w:p w14:paraId="7F7B9732">
      <w:pPr>
        <w:ind w:firstLine="420"/>
      </w:pPr>
    </w:p>
    <w:p w14:paraId="00940BF4">
      <w:pPr>
        <w:ind w:firstLine="42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980A8">
    <w:pPr>
      <w:pStyle w:val="5"/>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43535" cy="196850"/>
              <wp:effectExtent l="0" t="0" r="0" b="0"/>
              <wp:wrapNone/>
              <wp:docPr id="10" name="文本框 4"/>
              <wp:cNvGraphicFramePr/>
              <a:graphic xmlns:a="http://schemas.openxmlformats.org/drawingml/2006/main">
                <a:graphicData uri="http://schemas.microsoft.com/office/word/2010/wordprocessingShape">
                  <wps:wsp>
                    <wps:cNvSpPr txBox="1">
                      <a:spLocks noChangeArrowheads="1"/>
                    </wps:cNvSpPr>
                    <wps:spPr bwMode="auto">
                      <a:xfrm>
                        <a:off x="0" y="0"/>
                        <a:ext cx="343535" cy="196850"/>
                      </a:xfrm>
                      <a:prstGeom prst="rect">
                        <a:avLst/>
                      </a:prstGeom>
                      <a:noFill/>
                      <a:ln>
                        <a:noFill/>
                      </a:ln>
                    </wps:spPr>
                    <wps:txbx>
                      <w:txbxContent>
                        <w:p w14:paraId="78CB0E5B">
                          <w:pPr>
                            <w:pStyle w:val="5"/>
                            <w:ind w:firstLine="360"/>
                          </w:pPr>
                          <w:r>
                            <w:fldChar w:fldCharType="begin"/>
                          </w:r>
                          <w:r>
                            <w:instrText xml:space="preserve"> PAGE  \* MERGEFORMAT </w:instrText>
                          </w:r>
                          <w:r>
                            <w:fldChar w:fldCharType="separate"/>
                          </w:r>
                          <w:r>
                            <w:t>- 91 -</w:t>
                          </w:r>
                          <w:r>
                            <w:fldChar w:fldCharType="end"/>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5.5pt;width:27.05pt;mso-position-horizontal:center;mso-position-horizontal-relative:margin;mso-wrap-style:none;z-index:251659264;mso-width-relative:page;mso-height-relative:page;" filled="f" stroked="f" coordsize="21600,21600" o:gfxdata="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najrpdEAAAADAQAADwAAAAAAAAABACAAAAAiAAAAZHJz&#10;L2Rvd25yZXYueG1sUEsBAhQAFAAAAAgAh07iQDllFHgLAgAAAwQAAA4AAAAAAAAAAQAgAAAAIAEA&#10;AGRycy9lMm9Eb2MueG1sUEsFBgAAAAAGAAYAWQEAAJ0FAAAAAA==&#10;">
              <v:fill on="f" focussize="0,0"/>
              <v:stroke on="f"/>
              <v:imagedata o:title=""/>
              <o:lock v:ext="edit" aspectratio="f"/>
              <v:textbox inset="0mm,0mm,0mm,0mm" style="mso-fit-shape-to-text:t;">
                <w:txbxContent>
                  <w:p w14:paraId="78CB0E5B">
                    <w:pPr>
                      <w:pStyle w:val="5"/>
                      <w:ind w:firstLine="360"/>
                    </w:pPr>
                    <w:r>
                      <w:fldChar w:fldCharType="begin"/>
                    </w:r>
                    <w:r>
                      <w:instrText xml:space="preserve"> PAGE  \* MERGEFORMAT </w:instrText>
                    </w:r>
                    <w:r>
                      <w:fldChar w:fldCharType="separate"/>
                    </w:r>
                    <w:r>
                      <w:t>- 91 -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6FDF0">
    <w:pPr>
      <w:pStyle w:val="6"/>
      <w:pBdr>
        <w:bottom w:val="none" w:color="auto" w:sz="0" w:space="0"/>
      </w:pBdr>
      <w:ind w:firstLine="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EF150"/>
    <w:multiLevelType w:val="singleLevel"/>
    <w:tmpl w:val="82AEF150"/>
    <w:lvl w:ilvl="0" w:tentative="0">
      <w:start w:val="4"/>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iM2RmYzlhMWE0Yjg0MzFlMDBmMzMyMTE1ZDZhMDgifQ=="/>
  </w:docVars>
  <w:rsids>
    <w:rsidRoot w:val="00B21A1B"/>
    <w:rsid w:val="0008017A"/>
    <w:rsid w:val="001B1305"/>
    <w:rsid w:val="00333928"/>
    <w:rsid w:val="00501678"/>
    <w:rsid w:val="005063DD"/>
    <w:rsid w:val="0051667F"/>
    <w:rsid w:val="006C59D3"/>
    <w:rsid w:val="007A002B"/>
    <w:rsid w:val="007C6504"/>
    <w:rsid w:val="0087322A"/>
    <w:rsid w:val="009231BD"/>
    <w:rsid w:val="00941F77"/>
    <w:rsid w:val="009435A6"/>
    <w:rsid w:val="009C3A11"/>
    <w:rsid w:val="00A32CFB"/>
    <w:rsid w:val="00B21A1B"/>
    <w:rsid w:val="00E95FFB"/>
    <w:rsid w:val="00EC23D6"/>
    <w:rsid w:val="06706354"/>
    <w:rsid w:val="081F59E5"/>
    <w:rsid w:val="083C410F"/>
    <w:rsid w:val="0B016223"/>
    <w:rsid w:val="0BAD22B2"/>
    <w:rsid w:val="11390774"/>
    <w:rsid w:val="176C6AD6"/>
    <w:rsid w:val="17C80E7A"/>
    <w:rsid w:val="1C2361BA"/>
    <w:rsid w:val="1CD046FF"/>
    <w:rsid w:val="1DCC11C6"/>
    <w:rsid w:val="1DD273A5"/>
    <w:rsid w:val="1FD46237"/>
    <w:rsid w:val="20DB651F"/>
    <w:rsid w:val="214A1445"/>
    <w:rsid w:val="21C347B6"/>
    <w:rsid w:val="22AA3722"/>
    <w:rsid w:val="22C810E9"/>
    <w:rsid w:val="233E2C86"/>
    <w:rsid w:val="252B096E"/>
    <w:rsid w:val="26C00334"/>
    <w:rsid w:val="2C9F3D8A"/>
    <w:rsid w:val="30DC1B89"/>
    <w:rsid w:val="33BE302F"/>
    <w:rsid w:val="34D06CC1"/>
    <w:rsid w:val="354153D7"/>
    <w:rsid w:val="36E76BEB"/>
    <w:rsid w:val="36FD2C2C"/>
    <w:rsid w:val="3723640B"/>
    <w:rsid w:val="37D57A7A"/>
    <w:rsid w:val="39AB244B"/>
    <w:rsid w:val="3B1D063B"/>
    <w:rsid w:val="3C4B005D"/>
    <w:rsid w:val="3D00465B"/>
    <w:rsid w:val="3DBF69CA"/>
    <w:rsid w:val="3E541C9F"/>
    <w:rsid w:val="3EA572C5"/>
    <w:rsid w:val="411235C7"/>
    <w:rsid w:val="422C01A0"/>
    <w:rsid w:val="43BA287C"/>
    <w:rsid w:val="43E2219F"/>
    <w:rsid w:val="47E9154F"/>
    <w:rsid w:val="4BA601D9"/>
    <w:rsid w:val="4DC64EB1"/>
    <w:rsid w:val="539004A1"/>
    <w:rsid w:val="543C3D26"/>
    <w:rsid w:val="55585B28"/>
    <w:rsid w:val="55FD758F"/>
    <w:rsid w:val="5EB13D3E"/>
    <w:rsid w:val="61EC1A34"/>
    <w:rsid w:val="63654BA0"/>
    <w:rsid w:val="6388493C"/>
    <w:rsid w:val="6A222CC8"/>
    <w:rsid w:val="70D12BEE"/>
    <w:rsid w:val="725213A3"/>
    <w:rsid w:val="7343781B"/>
    <w:rsid w:val="73AA22D7"/>
    <w:rsid w:val="74902F7C"/>
    <w:rsid w:val="75466405"/>
    <w:rsid w:val="78496AB4"/>
    <w:rsid w:val="79230CF0"/>
    <w:rsid w:val="7B29461C"/>
    <w:rsid w:val="7C6C0EEF"/>
    <w:rsid w:val="7D945936"/>
    <w:rsid w:val="7DA41061"/>
    <w:rsid w:val="7E9E4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autoRedefine/>
    <w:qFormat/>
    <w:uiPriority w:val="0"/>
    <w:pPr>
      <w:ind w:firstLine="420"/>
      <w:jc w:val="left"/>
    </w:pPr>
  </w:style>
  <w:style w:type="paragraph" w:styleId="3">
    <w:name w:val="Body Text"/>
    <w:basedOn w:val="1"/>
    <w:autoRedefine/>
    <w:qFormat/>
    <w:uiPriority w:val="99"/>
    <w:pPr>
      <w:spacing w:after="120"/>
    </w:pPr>
  </w:style>
  <w:style w:type="paragraph" w:styleId="4">
    <w:name w:val="Body Text Indent"/>
    <w:basedOn w:val="1"/>
    <w:autoRedefine/>
    <w:unhideWhenUsed/>
    <w:qFormat/>
    <w:uiPriority w:val="0"/>
    <w:pPr>
      <w:spacing w:after="120"/>
      <w:ind w:left="420" w:leftChars="200"/>
    </w:pPr>
  </w:style>
  <w:style w:type="paragraph" w:styleId="5">
    <w:name w:val="footer"/>
    <w:basedOn w:val="1"/>
    <w:autoRedefine/>
    <w:qFormat/>
    <w:uiPriority w:val="99"/>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8"/>
    <w:qFormat/>
    <w:uiPriority w:val="0"/>
    <w:pPr>
      <w:ind w:firstLine="200"/>
    </w:pPr>
    <w:rPr>
      <w:b/>
      <w:bCs/>
    </w:rPr>
  </w:style>
  <w:style w:type="paragraph" w:styleId="8">
    <w:name w:val="Body Text First Indent 2"/>
    <w:basedOn w:val="4"/>
    <w:autoRedefine/>
    <w:semiHidden/>
    <w:qFormat/>
    <w:uiPriority w:val="0"/>
    <w:pPr>
      <w:ind w:firstLine="42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0"/>
    <w:rPr>
      <w:b/>
    </w:rPr>
  </w:style>
  <w:style w:type="character" w:styleId="13">
    <w:name w:val="annotation reference"/>
    <w:basedOn w:val="11"/>
    <w:autoRedefine/>
    <w:qFormat/>
    <w:uiPriority w:val="0"/>
    <w:rPr>
      <w:sz w:val="21"/>
      <w:szCs w:val="21"/>
    </w:rPr>
  </w:style>
  <w:style w:type="paragraph" w:customStyle="1" w:styleId="14">
    <w:name w:val="列出段落1"/>
    <w:basedOn w:val="1"/>
    <w:autoRedefine/>
    <w:qFormat/>
    <w:uiPriority w:val="34"/>
    <w:pPr>
      <w:spacing w:beforeLines="50" w:after="156" w:line="240" w:lineRule="atLeast"/>
      <w:ind w:left="425"/>
    </w:pPr>
    <w:rPr>
      <w:rFonts w:eastAsia="仿宋_GB2312"/>
      <w:sz w:val="24"/>
    </w:rPr>
  </w:style>
  <w:style w:type="paragraph" w:customStyle="1" w:styleId="15">
    <w:name w:val="修订1"/>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6">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17">
    <w:name w:val="批注文字 字符"/>
    <w:basedOn w:val="11"/>
    <w:link w:val="2"/>
    <w:qFormat/>
    <w:uiPriority w:val="0"/>
    <w:rPr>
      <w:kern w:val="2"/>
      <w:sz w:val="21"/>
      <w:szCs w:val="24"/>
    </w:rPr>
  </w:style>
  <w:style w:type="character" w:customStyle="1" w:styleId="18">
    <w:name w:val="批注主题 字符"/>
    <w:basedOn w:val="17"/>
    <w:link w:val="7"/>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14568</Words>
  <Characters>14916</Characters>
  <Lines>122</Lines>
  <Paragraphs>34</Paragraphs>
  <TotalTime>20</TotalTime>
  <ScaleCrop>false</ScaleCrop>
  <LinksUpToDate>false</LinksUpToDate>
  <CharactersWithSpaces>15269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2024-12-19T14:18:00Z</dcterms:created>
  <dc:creator>123</dc:creator>
  <cp:lastModifiedBy>高工</cp:lastModifiedBy>
  <cp:lastPrinted>2024-12-19T14:18:00Z</cp:lastPrinted>
  <dcterms:modified xsi:type="dcterms:W3CDTF">2025-10-31T10:05:23Z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39E364BB72114130874CBFEAF1DF49D3_13</vt:lpwstr>
  </property>
  <property fmtid="{D5CDD505-2E9C-101B-9397-08002B2CF9AE}" pid="4" name="KSOTemplateDocerSaveRecord">
    <vt:lpwstr>eyJoZGlkIjoiNzc0OTc3NmRmNGM3Mjg1MmI1ZGU1MWU0OTM3ZTRkZjYiLCJ1c2VySWQiOiIzMTAzMDg1NjcifQ==</vt:lpwstr>
  </property>
</Properties>
</file>