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附件：投标报价一览表</w:t>
      </w:r>
    </w:p>
    <w:p w14:paraId="06FE5D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1E604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大浪劳动者广场公厕基础设施升级改造采购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2107"/>
        <w:gridCol w:w="2126"/>
        <w:gridCol w:w="2297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108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2107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126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含税投标总价（万元）</w:t>
            </w:r>
          </w:p>
        </w:tc>
        <w:tc>
          <w:tcPr>
            <w:tcW w:w="2297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08" w:type="dxa"/>
            <w:vAlign w:val="center"/>
          </w:tcPr>
          <w:p w14:paraId="65FB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大浪劳动者广场公厕</w:t>
            </w:r>
          </w:p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基础设施升级改造采购</w:t>
            </w:r>
          </w:p>
        </w:tc>
        <w:tc>
          <w:tcPr>
            <w:tcW w:w="2107" w:type="dxa"/>
            <w:vAlign w:val="center"/>
          </w:tcPr>
          <w:p w14:paraId="74E1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126" w:type="dxa"/>
            <w:vAlign w:val="center"/>
          </w:tcPr>
          <w:p w14:paraId="6A35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1.投标报价总价为投标人履行本项目所发生的一切费用。</w:t>
            </w:r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108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107" w:type="dxa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8.5万元</w:t>
            </w:r>
          </w:p>
        </w:tc>
        <w:tc>
          <w:tcPr>
            <w:tcW w:w="2126" w:type="dxa"/>
            <w:vAlign w:val="center"/>
          </w:tcPr>
          <w:p w14:paraId="65A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108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2107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捌万伍仟元整</w:t>
            </w:r>
          </w:p>
        </w:tc>
        <w:tc>
          <w:tcPr>
            <w:tcW w:w="2126" w:type="dxa"/>
            <w:vAlign w:val="center"/>
          </w:tcPr>
          <w:p w14:paraId="6D0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71EC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（1）以上所报价格均为含税价。投标人填报的投标报价总价不得超过投标报价上限,否则按无效标处理；</w:t>
      </w:r>
    </w:p>
    <w:p w14:paraId="5E22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532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总价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包括材料费、人工费、运输费（含装卸货、包安装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施工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）、保险费、管理费、税金及其他乙方为履行本合同义务所发生的一切费用。</w:t>
      </w:r>
    </w:p>
    <w:p w14:paraId="751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7004C754">
      <w:pPr>
        <w:pStyle w:val="2"/>
        <w:rPr>
          <w:rFonts w:hint="eastAsia"/>
        </w:rPr>
      </w:pPr>
    </w:p>
    <w:p w14:paraId="05FF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0CFEEE04">
      <w:pPr>
        <w:pStyle w:val="2"/>
        <w:rPr>
          <w:rFonts w:hint="eastAsia"/>
          <w:lang w:val="en-US" w:eastAsia="zh-CN"/>
        </w:rPr>
      </w:pPr>
    </w:p>
    <w:p w14:paraId="450F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p w14:paraId="69379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附件：大浪劳动者广场公厕基础设施升级改造分项报价表</w:t>
      </w:r>
    </w:p>
    <w:tbl>
      <w:tblPr>
        <w:tblStyle w:val="6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39"/>
        <w:gridCol w:w="937"/>
        <w:gridCol w:w="2362"/>
        <w:gridCol w:w="993"/>
        <w:gridCol w:w="882"/>
        <w:gridCol w:w="918"/>
        <w:gridCol w:w="1080"/>
      </w:tblGrid>
      <w:tr w14:paraId="3C8C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26" w:type="dxa"/>
            <w:vAlign w:val="center"/>
          </w:tcPr>
          <w:p w14:paraId="1FC8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39" w:type="dxa"/>
            <w:vAlign w:val="center"/>
          </w:tcPr>
          <w:p w14:paraId="5FE3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项目类别</w:t>
            </w:r>
          </w:p>
        </w:tc>
        <w:tc>
          <w:tcPr>
            <w:tcW w:w="937" w:type="dxa"/>
            <w:vAlign w:val="center"/>
          </w:tcPr>
          <w:p w14:paraId="1E55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品牌/材质</w:t>
            </w:r>
          </w:p>
        </w:tc>
        <w:tc>
          <w:tcPr>
            <w:tcW w:w="2362" w:type="dxa"/>
            <w:vAlign w:val="center"/>
          </w:tcPr>
          <w:p w14:paraId="5C89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规格/施工说明</w:t>
            </w:r>
          </w:p>
        </w:tc>
        <w:tc>
          <w:tcPr>
            <w:tcW w:w="993" w:type="dxa"/>
            <w:vAlign w:val="center"/>
          </w:tcPr>
          <w:p w14:paraId="36BE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82" w:type="dxa"/>
            <w:vAlign w:val="center"/>
          </w:tcPr>
          <w:p w14:paraId="424A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918" w:type="dxa"/>
            <w:vAlign w:val="center"/>
          </w:tcPr>
          <w:p w14:paraId="02B5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80" w:type="dxa"/>
            <w:vAlign w:val="center"/>
          </w:tcPr>
          <w:p w14:paraId="29BA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3B86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40A8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9" w:type="dxa"/>
            <w:vAlign w:val="center"/>
          </w:tcPr>
          <w:p w14:paraId="436C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防水施工</w:t>
            </w:r>
          </w:p>
        </w:tc>
        <w:tc>
          <w:tcPr>
            <w:tcW w:w="937" w:type="dxa"/>
            <w:vAlign w:val="center"/>
          </w:tcPr>
          <w:p w14:paraId="0402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东方雨虹/德高</w:t>
            </w:r>
          </w:p>
        </w:tc>
        <w:tc>
          <w:tcPr>
            <w:tcW w:w="2362" w:type="dxa"/>
            <w:vAlign w:val="center"/>
          </w:tcPr>
          <w:p w14:paraId="78A3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聚合物水泥基防水涂料，双组份</w:t>
            </w:r>
          </w:p>
          <w:p w14:paraId="58F2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工艺：一布三涂，厚度≥1.5mm</w:t>
            </w:r>
          </w:p>
        </w:tc>
        <w:tc>
          <w:tcPr>
            <w:tcW w:w="993" w:type="dxa"/>
            <w:vAlign w:val="center"/>
          </w:tcPr>
          <w:p w14:paraId="20E2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53m²</w:t>
            </w:r>
          </w:p>
        </w:tc>
        <w:tc>
          <w:tcPr>
            <w:tcW w:w="882" w:type="dxa"/>
          </w:tcPr>
          <w:p w14:paraId="6A6F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18" w:type="dxa"/>
          </w:tcPr>
          <w:p w14:paraId="4DFC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 w14:paraId="48AB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公厕墙面、外立面防水</w:t>
            </w:r>
          </w:p>
        </w:tc>
      </w:tr>
      <w:tr w14:paraId="7FB7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4E88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9" w:type="dxa"/>
            <w:vAlign w:val="center"/>
          </w:tcPr>
          <w:p w14:paraId="7E2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木格栅立面装饰</w:t>
            </w:r>
          </w:p>
        </w:tc>
        <w:tc>
          <w:tcPr>
            <w:tcW w:w="937" w:type="dxa"/>
            <w:vAlign w:val="center"/>
          </w:tcPr>
          <w:p w14:paraId="46B9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芬兰木/防腐木</w:t>
            </w:r>
          </w:p>
        </w:tc>
        <w:tc>
          <w:tcPr>
            <w:tcW w:w="2362" w:type="dxa"/>
            <w:vAlign w:val="center"/>
          </w:tcPr>
          <w:p w14:paraId="347B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100宽，表面户外木油保护处理</w:t>
            </w:r>
          </w:p>
        </w:tc>
        <w:tc>
          <w:tcPr>
            <w:tcW w:w="993" w:type="dxa"/>
            <w:vAlign w:val="center"/>
          </w:tcPr>
          <w:p w14:paraId="2D3A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80.60m²</w:t>
            </w:r>
          </w:p>
        </w:tc>
        <w:tc>
          <w:tcPr>
            <w:tcW w:w="882" w:type="dxa"/>
          </w:tcPr>
          <w:p w14:paraId="305C81E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405D6BD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4E7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外立面隔断</w:t>
            </w:r>
          </w:p>
        </w:tc>
      </w:tr>
      <w:tr w14:paraId="485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7829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9" w:type="dxa"/>
            <w:vAlign w:val="center"/>
          </w:tcPr>
          <w:p w14:paraId="457B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百叶窗立面</w:t>
            </w:r>
          </w:p>
        </w:tc>
        <w:tc>
          <w:tcPr>
            <w:tcW w:w="937" w:type="dxa"/>
            <w:vAlign w:val="center"/>
          </w:tcPr>
          <w:p w14:paraId="7534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0A52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宽度80mm，厚度0.8mm，可调节角度</w:t>
            </w:r>
          </w:p>
        </w:tc>
        <w:tc>
          <w:tcPr>
            <w:tcW w:w="993" w:type="dxa"/>
            <w:vAlign w:val="center"/>
          </w:tcPr>
          <w:p w14:paraId="00C1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11m²</w:t>
            </w:r>
          </w:p>
        </w:tc>
        <w:tc>
          <w:tcPr>
            <w:tcW w:w="882" w:type="dxa"/>
          </w:tcPr>
          <w:p w14:paraId="1909B7B3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1D70FDE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EB7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外立面隔断</w:t>
            </w:r>
          </w:p>
        </w:tc>
      </w:tr>
      <w:tr w14:paraId="3580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2DED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39" w:type="dxa"/>
            <w:vAlign w:val="center"/>
          </w:tcPr>
          <w:p w14:paraId="3A4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木栅栏隔断</w:t>
            </w:r>
          </w:p>
        </w:tc>
        <w:tc>
          <w:tcPr>
            <w:tcW w:w="937" w:type="dxa"/>
            <w:vAlign w:val="center"/>
          </w:tcPr>
          <w:p w14:paraId="7F7E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芬兰木/防腐木</w:t>
            </w:r>
          </w:p>
        </w:tc>
        <w:tc>
          <w:tcPr>
            <w:tcW w:w="2362" w:type="dxa"/>
            <w:vAlign w:val="center"/>
          </w:tcPr>
          <w:p w14:paraId="745C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100*100mm立柱，50*50mm横档，拉网式工艺，户外漆保护</w:t>
            </w:r>
          </w:p>
        </w:tc>
        <w:tc>
          <w:tcPr>
            <w:tcW w:w="993" w:type="dxa"/>
            <w:vAlign w:val="center"/>
          </w:tcPr>
          <w:p w14:paraId="1BD2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3m²</w:t>
            </w:r>
          </w:p>
        </w:tc>
        <w:tc>
          <w:tcPr>
            <w:tcW w:w="882" w:type="dxa"/>
          </w:tcPr>
          <w:p w14:paraId="5CB8BDD0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4CF5E97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421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外立面隔断</w:t>
            </w:r>
          </w:p>
        </w:tc>
      </w:tr>
      <w:tr w14:paraId="78A5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47BC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39" w:type="dxa"/>
            <w:vAlign w:val="center"/>
          </w:tcPr>
          <w:p w14:paraId="3B1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灯具及户外座椅</w:t>
            </w:r>
          </w:p>
        </w:tc>
        <w:tc>
          <w:tcPr>
            <w:tcW w:w="937" w:type="dxa"/>
            <w:vAlign w:val="center"/>
          </w:tcPr>
          <w:p w14:paraId="770E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0C96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灯具：铸铝材质，LED光源，防水等级IP65</w:t>
            </w:r>
          </w:p>
          <w:p w14:paraId="5448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座椅：镀锌材质，静电喷涂</w:t>
            </w:r>
          </w:p>
        </w:tc>
        <w:tc>
          <w:tcPr>
            <w:tcW w:w="993" w:type="dxa"/>
            <w:vAlign w:val="center"/>
          </w:tcPr>
          <w:p w14:paraId="20B8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1个</w:t>
            </w:r>
          </w:p>
        </w:tc>
        <w:tc>
          <w:tcPr>
            <w:tcW w:w="882" w:type="dxa"/>
          </w:tcPr>
          <w:p w14:paraId="4C326DB6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6F6A0C03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461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户外休息椅更换</w:t>
            </w:r>
          </w:p>
        </w:tc>
      </w:tr>
      <w:tr w14:paraId="68E4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7287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39" w:type="dxa"/>
            <w:vAlign w:val="center"/>
          </w:tcPr>
          <w:p w14:paraId="6662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文化墙</w:t>
            </w:r>
          </w:p>
        </w:tc>
        <w:tc>
          <w:tcPr>
            <w:tcW w:w="937" w:type="dxa"/>
            <w:vAlign w:val="center"/>
          </w:tcPr>
          <w:p w14:paraId="31D7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2833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投标单位自行设计</w:t>
            </w:r>
          </w:p>
        </w:tc>
        <w:tc>
          <w:tcPr>
            <w:tcW w:w="993" w:type="dxa"/>
            <w:vAlign w:val="center"/>
          </w:tcPr>
          <w:p w14:paraId="6F5B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1组</w:t>
            </w:r>
          </w:p>
        </w:tc>
        <w:tc>
          <w:tcPr>
            <w:tcW w:w="882" w:type="dxa"/>
          </w:tcPr>
          <w:p w14:paraId="111BCA98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5E549E1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A9D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68B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6CC8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39" w:type="dxa"/>
            <w:vAlign w:val="center"/>
          </w:tcPr>
          <w:p w14:paraId="0F28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转角台阶拆除及修复</w:t>
            </w:r>
          </w:p>
        </w:tc>
        <w:tc>
          <w:tcPr>
            <w:tcW w:w="937" w:type="dxa"/>
            <w:vAlign w:val="center"/>
          </w:tcPr>
          <w:p w14:paraId="6DD7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C2商砼</w:t>
            </w:r>
          </w:p>
        </w:tc>
        <w:tc>
          <w:tcPr>
            <w:tcW w:w="2362" w:type="dxa"/>
            <w:vAlign w:val="center"/>
          </w:tcPr>
          <w:p w14:paraId="7C2D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人工凿除后，加装模板支撑及C25商砼混凝土浇筑养护</w:t>
            </w:r>
          </w:p>
        </w:tc>
        <w:tc>
          <w:tcPr>
            <w:tcW w:w="993" w:type="dxa"/>
            <w:vAlign w:val="center"/>
          </w:tcPr>
          <w:p w14:paraId="701A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3m²</w:t>
            </w:r>
          </w:p>
        </w:tc>
        <w:tc>
          <w:tcPr>
            <w:tcW w:w="882" w:type="dxa"/>
          </w:tcPr>
          <w:p w14:paraId="77B6F03D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5B8C2CF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189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1EF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26" w:type="dxa"/>
            <w:vAlign w:val="center"/>
          </w:tcPr>
          <w:p w14:paraId="24C4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239" w:type="dxa"/>
            <w:vAlign w:val="center"/>
          </w:tcPr>
          <w:p w14:paraId="0F4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屋顶/洗手台带灯</w:t>
            </w:r>
          </w:p>
        </w:tc>
        <w:tc>
          <w:tcPr>
            <w:tcW w:w="937" w:type="dxa"/>
            <w:vAlign w:val="center"/>
          </w:tcPr>
          <w:p w14:paraId="0DB2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欧普/雷士</w:t>
            </w:r>
          </w:p>
        </w:tc>
        <w:tc>
          <w:tcPr>
            <w:tcW w:w="2362" w:type="dxa"/>
            <w:vAlign w:val="center"/>
          </w:tcPr>
          <w:p w14:paraId="57EF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24V低压软灯带，5050灯珠，防水等级IP67（含电源变压器)</w:t>
            </w:r>
          </w:p>
        </w:tc>
        <w:tc>
          <w:tcPr>
            <w:tcW w:w="993" w:type="dxa"/>
            <w:vAlign w:val="center"/>
          </w:tcPr>
          <w:p w14:paraId="6CA4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55m</w:t>
            </w:r>
          </w:p>
        </w:tc>
        <w:tc>
          <w:tcPr>
            <w:tcW w:w="882" w:type="dxa"/>
          </w:tcPr>
          <w:p w14:paraId="6450E030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</w:tcPr>
          <w:p w14:paraId="3AFD3C60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87E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DE1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239" w:type="dxa"/>
            <w:gridSpan w:val="6"/>
            <w:vAlign w:val="center"/>
          </w:tcPr>
          <w:p w14:paraId="5C14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918" w:type="dxa"/>
          </w:tcPr>
          <w:p w14:paraId="5C3FB7C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38C414D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29C3811"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备注：本项目为固定总价合同，包括材料费、人工费、运输费（含装卸货、包安装及施工）、保险费、管理费、税金及其他乙方为履行本合同义务所发生的一切费用。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5042"/>
    <w:rsid w:val="004D0C27"/>
    <w:rsid w:val="020236B3"/>
    <w:rsid w:val="05600E1D"/>
    <w:rsid w:val="056E6901"/>
    <w:rsid w:val="066C559F"/>
    <w:rsid w:val="072B7208"/>
    <w:rsid w:val="0BD804C2"/>
    <w:rsid w:val="0BD94AA7"/>
    <w:rsid w:val="0C7B29E0"/>
    <w:rsid w:val="0E2617D8"/>
    <w:rsid w:val="0FFC5BE6"/>
    <w:rsid w:val="10831E63"/>
    <w:rsid w:val="11386399"/>
    <w:rsid w:val="158C3568"/>
    <w:rsid w:val="19E20029"/>
    <w:rsid w:val="1B891923"/>
    <w:rsid w:val="1B973EDF"/>
    <w:rsid w:val="1C2B587C"/>
    <w:rsid w:val="20476A09"/>
    <w:rsid w:val="20656D9A"/>
    <w:rsid w:val="21684F9E"/>
    <w:rsid w:val="248A15BB"/>
    <w:rsid w:val="287C0852"/>
    <w:rsid w:val="2A0F3757"/>
    <w:rsid w:val="2CFA3055"/>
    <w:rsid w:val="2FF5582D"/>
    <w:rsid w:val="32957AA8"/>
    <w:rsid w:val="349F4C0E"/>
    <w:rsid w:val="34B306BA"/>
    <w:rsid w:val="36A4650C"/>
    <w:rsid w:val="3735733F"/>
    <w:rsid w:val="38240B7D"/>
    <w:rsid w:val="38EC419A"/>
    <w:rsid w:val="3A170545"/>
    <w:rsid w:val="3CF1267B"/>
    <w:rsid w:val="3DC2371B"/>
    <w:rsid w:val="3F6031EC"/>
    <w:rsid w:val="412D5350"/>
    <w:rsid w:val="41960BB9"/>
    <w:rsid w:val="436C03B1"/>
    <w:rsid w:val="45CD7101"/>
    <w:rsid w:val="47251675"/>
    <w:rsid w:val="477935C3"/>
    <w:rsid w:val="487D6BBD"/>
    <w:rsid w:val="488270AA"/>
    <w:rsid w:val="48941CA7"/>
    <w:rsid w:val="4A3D4856"/>
    <w:rsid w:val="4A4127A5"/>
    <w:rsid w:val="4ADE0C6C"/>
    <w:rsid w:val="4B1823E9"/>
    <w:rsid w:val="4CE51561"/>
    <w:rsid w:val="4CE856E5"/>
    <w:rsid w:val="4E705264"/>
    <w:rsid w:val="4F870321"/>
    <w:rsid w:val="4FD572DE"/>
    <w:rsid w:val="522D586A"/>
    <w:rsid w:val="53443EEC"/>
    <w:rsid w:val="542D76E9"/>
    <w:rsid w:val="54524622"/>
    <w:rsid w:val="548035A5"/>
    <w:rsid w:val="578A5042"/>
    <w:rsid w:val="5A3317D1"/>
    <w:rsid w:val="5BDB3476"/>
    <w:rsid w:val="5CB07109"/>
    <w:rsid w:val="5FBB0524"/>
    <w:rsid w:val="60A725D1"/>
    <w:rsid w:val="62E57274"/>
    <w:rsid w:val="65C9123C"/>
    <w:rsid w:val="66304E17"/>
    <w:rsid w:val="67EB6E79"/>
    <w:rsid w:val="68861B70"/>
    <w:rsid w:val="68B735CD"/>
    <w:rsid w:val="6C474E31"/>
    <w:rsid w:val="6D196605"/>
    <w:rsid w:val="6FAF3250"/>
    <w:rsid w:val="6FD607DD"/>
    <w:rsid w:val="75B53010"/>
    <w:rsid w:val="76796366"/>
    <w:rsid w:val="7CFB5D27"/>
    <w:rsid w:val="7D3B4375"/>
    <w:rsid w:val="7E4E1ACC"/>
    <w:rsid w:val="7F8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GB2312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941</Characters>
  <Lines>0</Lines>
  <Paragraphs>0</Paragraphs>
  <TotalTime>5</TotalTime>
  <ScaleCrop>false</ScaleCrop>
  <LinksUpToDate>false</LinksUpToDate>
  <CharactersWithSpaces>950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2025-09-25T02:01:00Z</dcterms:created>
  <dc:creator>WPS_1756952891</dc:creator>
  <cp:lastModifiedBy>WPS_1756952891</cp:lastModifiedBy>
  <dcterms:modified xsi:type="dcterms:W3CDTF">2025-11-06T09:32:32Z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3F0CF86F58EC4E13A301192448006F4C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