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D8BBC">
      <w:pPr>
        <w:jc w:val="left"/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深圳市龙祺商业运营管理有限公司美憬阁酒店分公司</w:t>
      </w:r>
    </w:p>
    <w:p w14:paraId="4CEB7F34">
      <w:pPr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招标需求单</w:t>
      </w:r>
    </w:p>
    <w:p w14:paraId="711E4F5F">
      <w:pPr>
        <w:jc w:val="right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sz w:val="24"/>
        </w:rPr>
        <w:t>2025年</w:t>
      </w:r>
      <w:r>
        <w:rPr>
          <w:rFonts w:ascii="仿宋" w:hAnsi="仿宋" w:eastAsia="仿宋" w:cs="仿宋"/>
          <w:sz w:val="24"/>
        </w:rPr>
        <w:t>10</w:t>
      </w:r>
      <w:r>
        <w:rPr>
          <w:rFonts w:hint="eastAsia" w:ascii="仿宋" w:hAnsi="仿宋" w:eastAsia="仿宋" w:cs="仿宋"/>
          <w:sz w:val="24"/>
        </w:rPr>
        <w:t>月2</w:t>
      </w:r>
      <w:r>
        <w:rPr>
          <w:rFonts w:hint="eastAsia" w:ascii="仿宋" w:hAnsi="仿宋" w:eastAsia="仿宋" w:cs="仿宋"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日</w:t>
      </w:r>
    </w:p>
    <w:tbl>
      <w:tblPr>
        <w:tblStyle w:val="10"/>
        <w:tblW w:w="10217" w:type="dxa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831"/>
        <w:gridCol w:w="867"/>
        <w:gridCol w:w="387"/>
        <w:gridCol w:w="995"/>
        <w:gridCol w:w="1249"/>
        <w:gridCol w:w="858"/>
        <w:gridCol w:w="988"/>
        <w:gridCol w:w="1274"/>
      </w:tblGrid>
      <w:tr w14:paraId="77B58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65886A7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编号</w:t>
            </w:r>
          </w:p>
        </w:tc>
        <w:tc>
          <w:tcPr>
            <w:tcW w:w="1831" w:type="dxa"/>
            <w:vAlign w:val="center"/>
          </w:tcPr>
          <w:p w14:paraId="16A51C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254" w:type="dxa"/>
            <w:gridSpan w:val="2"/>
            <w:vAlign w:val="center"/>
          </w:tcPr>
          <w:p w14:paraId="5287D9E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*申请部门</w:t>
            </w:r>
          </w:p>
        </w:tc>
        <w:tc>
          <w:tcPr>
            <w:tcW w:w="2244" w:type="dxa"/>
            <w:gridSpan w:val="2"/>
            <w:vAlign w:val="center"/>
          </w:tcPr>
          <w:p w14:paraId="16DB925D">
            <w:pPr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美憬阁酒店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财务部</w:t>
            </w:r>
          </w:p>
        </w:tc>
        <w:tc>
          <w:tcPr>
            <w:tcW w:w="1846" w:type="dxa"/>
            <w:gridSpan w:val="2"/>
            <w:vAlign w:val="center"/>
          </w:tcPr>
          <w:p w14:paraId="22F4FA7C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*申请人</w:t>
            </w:r>
          </w:p>
          <w:p w14:paraId="575B428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(直接对接人)</w:t>
            </w:r>
          </w:p>
        </w:tc>
        <w:tc>
          <w:tcPr>
            <w:tcW w:w="1274" w:type="dxa"/>
            <w:vAlign w:val="center"/>
          </w:tcPr>
          <w:p w14:paraId="750931B4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周娜妹</w:t>
            </w:r>
          </w:p>
        </w:tc>
      </w:tr>
      <w:tr w14:paraId="658B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6C06386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*所属项目</w:t>
            </w:r>
          </w:p>
        </w:tc>
        <w:tc>
          <w:tcPr>
            <w:tcW w:w="1831" w:type="dxa"/>
            <w:vAlign w:val="center"/>
          </w:tcPr>
          <w:p w14:paraId="05711473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时尚艺术大厦项目</w:t>
            </w:r>
          </w:p>
        </w:tc>
        <w:tc>
          <w:tcPr>
            <w:tcW w:w="1254" w:type="dxa"/>
            <w:gridSpan w:val="2"/>
            <w:vAlign w:val="center"/>
          </w:tcPr>
          <w:p w14:paraId="25A67A1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*招标需求</w:t>
            </w:r>
          </w:p>
          <w:p w14:paraId="0D2362C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完整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名称</w:t>
            </w:r>
          </w:p>
        </w:tc>
        <w:tc>
          <w:tcPr>
            <w:tcW w:w="2244" w:type="dxa"/>
            <w:gridSpan w:val="2"/>
            <w:vAlign w:val="center"/>
          </w:tcPr>
          <w:p w14:paraId="61454952">
            <w:pPr>
              <w:jc w:val="lef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美憬阁酒店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保险</w:t>
            </w:r>
          </w:p>
        </w:tc>
        <w:tc>
          <w:tcPr>
            <w:tcW w:w="1846" w:type="dxa"/>
            <w:gridSpan w:val="2"/>
            <w:vAlign w:val="center"/>
          </w:tcPr>
          <w:p w14:paraId="445D3EF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*采购立项    是否完成</w:t>
            </w:r>
          </w:p>
        </w:tc>
        <w:tc>
          <w:tcPr>
            <w:tcW w:w="1274" w:type="dxa"/>
            <w:vAlign w:val="center"/>
          </w:tcPr>
          <w:p w14:paraId="41421583">
            <w:p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是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52"/>
            </w:r>
            <w:r>
              <w:rPr>
                <w:rFonts w:hint="eastAsia" w:ascii="仿宋" w:hAnsi="仿宋" w:eastAsia="仿宋" w:cs="仿宋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否</w:t>
            </w:r>
            <w:r>
              <w:rPr>
                <w:rFonts w:hint="eastAsia" w:ascii="仿宋" w:hAnsi="仿宋" w:eastAsia="仿宋" w:cs="仿宋"/>
                <w:szCs w:val="21"/>
              </w:rPr>
              <w:sym w:font="Wingdings 2" w:char="00A3"/>
            </w:r>
          </w:p>
        </w:tc>
      </w:tr>
      <w:tr w14:paraId="0EDB8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68" w:type="dxa"/>
            <w:vAlign w:val="center"/>
          </w:tcPr>
          <w:p w14:paraId="0C89E24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*项目概况</w:t>
            </w:r>
          </w:p>
        </w:tc>
        <w:tc>
          <w:tcPr>
            <w:tcW w:w="8449" w:type="dxa"/>
            <w:gridSpan w:val="8"/>
            <w:vAlign w:val="center"/>
          </w:tcPr>
          <w:p w14:paraId="53E38F9B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Cs w:val="21"/>
                <w:shd w:val="clear" w:color="auto" w:fill="FFFFFF"/>
              </w:rPr>
              <w:t>项目位于深圳市龙华区大浪街道浪浪韵路8号，酒店建筑面积30350㎡(客房区面积18657.57㎡，公共区域面169243㎡)，酒店管理用房3506㎡。客房总数263间，全日制餐厅136个餐位，中餐厅40个餐位及7个包房、大堂吧40个餐位，酒廊54个餐位，大宴会厅886.4㎡，会议室3间，康体配套有健身房及游泳池。</w:t>
            </w:r>
          </w:p>
        </w:tc>
      </w:tr>
      <w:tr w14:paraId="77388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768" w:type="dxa"/>
            <w:vAlign w:val="center"/>
          </w:tcPr>
          <w:p w14:paraId="472C73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*招标范围、内容详细说明</w:t>
            </w:r>
          </w:p>
        </w:tc>
        <w:tc>
          <w:tcPr>
            <w:tcW w:w="8449" w:type="dxa"/>
            <w:gridSpan w:val="8"/>
            <w:vAlign w:val="center"/>
          </w:tcPr>
          <w:p w14:paraId="0FD0167E">
            <w:pPr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本次招标为美憬阁酒店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保险</w:t>
            </w:r>
            <w:r>
              <w:rPr>
                <w:rFonts w:hint="eastAsia" w:ascii="仿宋" w:hAnsi="仿宋" w:eastAsia="仿宋" w:cs="仿宋"/>
              </w:rPr>
              <w:t>招标（附件5：招标清单），招标范围包括但不限于：</w:t>
            </w:r>
          </w:p>
          <w:p w14:paraId="3C2150C3"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4"/>
                <w:lang w:val="en-US" w:eastAsia="zh-CN" w:bidi="ar-SA"/>
              </w:rPr>
              <w:t>酒店保险服务涵盖财产一切险、营业中断险、机器损坏险、现金险、公众责任险、雇主责任险及雇员忠诚保证保险等七大险种，全面保障酒店建筑物、设备、存货、经营收入及第三方责任等风险。</w:t>
            </w:r>
          </w:p>
          <w:p w14:paraId="65EC896E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1. 财产一切险：涵盖建筑物、装修、机器设备、办公家具、存货等； </w:t>
            </w:r>
          </w:p>
          <w:p w14:paraId="5FD78FEE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2. 营业中断险：保障因保险事故导致的经营收入损失；</w:t>
            </w:r>
          </w:p>
          <w:p w14:paraId="061568F3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3. 机器损坏险：保障机器设备因意外损坏造成的损失；</w:t>
            </w:r>
          </w:p>
          <w:p w14:paraId="66556ADB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4. 现金险：保障营业场所及运输途中现金损失；</w:t>
            </w:r>
          </w:p>
          <w:p w14:paraId="36E8168A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5. 公众责任险：保障第三方人身伤害或财产损失；</w:t>
            </w:r>
          </w:p>
          <w:p w14:paraId="74A93C70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6. 雇主责任险：保障员工工伤及法律责任；</w:t>
            </w:r>
          </w:p>
          <w:p w14:paraId="1ECAA625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7. 雇员忠诚保证保险：保障因员工不诚实行为导致的损失。</w:t>
            </w:r>
          </w:p>
          <w:p w14:paraId="0309FFB1">
            <w:pPr>
              <w:pStyle w:val="2"/>
              <w:rPr>
                <w:rFonts w:hint="eastAsia"/>
                <w:lang w:val="en-US" w:eastAsia="zh-CN"/>
              </w:rPr>
            </w:pPr>
          </w:p>
          <w:p w14:paraId="730A0B86">
            <w:pPr>
              <w:jc w:val="left"/>
              <w:rPr>
                <w:rFonts w:ascii="仿宋" w:hAnsi="仿宋" w:eastAsia="仿宋" w:cs="仿宋"/>
              </w:rPr>
            </w:pPr>
          </w:p>
        </w:tc>
      </w:tr>
      <w:tr w14:paraId="3AD3E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386C876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预估金额</w:t>
            </w:r>
          </w:p>
          <w:p w14:paraId="1831F10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（万元）</w:t>
            </w:r>
          </w:p>
        </w:tc>
        <w:tc>
          <w:tcPr>
            <w:tcW w:w="2698" w:type="dxa"/>
            <w:gridSpan w:val="2"/>
            <w:vAlign w:val="center"/>
          </w:tcPr>
          <w:p w14:paraId="589D88C4">
            <w:pPr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19.85</w:t>
            </w:r>
          </w:p>
        </w:tc>
        <w:tc>
          <w:tcPr>
            <w:tcW w:w="1382" w:type="dxa"/>
            <w:gridSpan w:val="2"/>
            <w:vAlign w:val="center"/>
          </w:tcPr>
          <w:p w14:paraId="78014624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拟采用</w:t>
            </w:r>
          </w:p>
          <w:p w14:paraId="3E3FEA0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招标方式</w:t>
            </w:r>
          </w:p>
        </w:tc>
        <w:tc>
          <w:tcPr>
            <w:tcW w:w="4369" w:type="dxa"/>
            <w:gridSpan w:val="4"/>
            <w:vAlign w:val="center"/>
          </w:tcPr>
          <w:p w14:paraId="30BAB76E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公开遴选</w:t>
            </w:r>
          </w:p>
        </w:tc>
      </w:tr>
      <w:tr w14:paraId="1BCB5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768" w:type="dxa"/>
            <w:vAlign w:val="center"/>
          </w:tcPr>
          <w:p w14:paraId="1A25F76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投标人资格要求</w:t>
            </w:r>
          </w:p>
        </w:tc>
        <w:tc>
          <w:tcPr>
            <w:tcW w:w="2698" w:type="dxa"/>
            <w:gridSpan w:val="2"/>
            <w:vAlign w:val="center"/>
          </w:tcPr>
          <w:p w14:paraId="37E7EB68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具有独立法人资格，持有中国银保监会颁发的保险经营许可证；</w:t>
            </w:r>
          </w:p>
          <w:p w14:paraId="6A723386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近三年内，具有五星级酒店或同类高端商业项目保险服务经验；</w:t>
            </w:r>
          </w:p>
          <w:p w14:paraId="7D7A5894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具备完善的理赔服务体系和应急响应机制；</w:t>
            </w:r>
          </w:p>
          <w:p w14:paraId="62F0E16A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响应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详细的保险方案及条款说明，包括特别约定、免赔额、扩展责任等。</w:t>
            </w:r>
          </w:p>
          <w:p w14:paraId="528C256B">
            <w:pPr>
              <w:numPr>
                <w:ilvl w:val="0"/>
                <w:numId w:val="1"/>
              </w:numPr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本项目不接受联合体投标。</w:t>
            </w:r>
          </w:p>
          <w:p w14:paraId="6FA71E77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218A8DD6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项目</w:t>
            </w:r>
          </w:p>
          <w:p w14:paraId="0CB1634D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资质要求</w:t>
            </w:r>
          </w:p>
        </w:tc>
        <w:tc>
          <w:tcPr>
            <w:tcW w:w="4369" w:type="dxa"/>
            <w:gridSpan w:val="4"/>
            <w:vAlign w:val="center"/>
          </w:tcPr>
          <w:p w14:paraId="74D8FDF2">
            <w:pPr>
              <w:numPr>
                <w:ilvl w:val="0"/>
                <w:numId w:val="0"/>
              </w:numPr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近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2"/>
              </w:rPr>
              <w:t>年内有三家及以上的五星级品牌酒店</w:t>
            </w: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或同类高端商业项目保险合作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案例；</w:t>
            </w:r>
          </w:p>
          <w:p w14:paraId="26CEFC91">
            <w:pPr>
              <w:numPr>
                <w:ilvl w:val="0"/>
                <w:numId w:val="0"/>
              </w:numPr>
              <w:rPr>
                <w:rFonts w:eastAsia="仿宋"/>
                <w:lang w:eastAsia="zh-CN"/>
              </w:rPr>
            </w:pPr>
          </w:p>
        </w:tc>
      </w:tr>
      <w:tr w14:paraId="5BCB9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38BD8549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*进场时间节点</w:t>
            </w:r>
          </w:p>
        </w:tc>
        <w:tc>
          <w:tcPr>
            <w:tcW w:w="2698" w:type="dxa"/>
            <w:gridSpan w:val="2"/>
            <w:vAlign w:val="center"/>
          </w:tcPr>
          <w:p w14:paraId="61C080D8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2025.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12.10</w:t>
            </w:r>
          </w:p>
        </w:tc>
        <w:tc>
          <w:tcPr>
            <w:tcW w:w="1382" w:type="dxa"/>
            <w:gridSpan w:val="2"/>
            <w:vAlign w:val="center"/>
          </w:tcPr>
          <w:p w14:paraId="6732054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*工期、交货期要求</w:t>
            </w:r>
          </w:p>
        </w:tc>
        <w:tc>
          <w:tcPr>
            <w:tcW w:w="1249" w:type="dxa"/>
            <w:vAlign w:val="center"/>
          </w:tcPr>
          <w:p w14:paraId="04E324D3">
            <w:pPr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3个工作日</w:t>
            </w:r>
          </w:p>
        </w:tc>
        <w:tc>
          <w:tcPr>
            <w:tcW w:w="858" w:type="dxa"/>
            <w:vAlign w:val="center"/>
          </w:tcPr>
          <w:p w14:paraId="47D3895B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*质量要求</w:t>
            </w:r>
          </w:p>
        </w:tc>
        <w:tc>
          <w:tcPr>
            <w:tcW w:w="2262" w:type="dxa"/>
            <w:gridSpan w:val="2"/>
            <w:vAlign w:val="center"/>
          </w:tcPr>
          <w:p w14:paraId="270C3EAC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需满足保险方案承保条件</w:t>
            </w:r>
          </w:p>
        </w:tc>
      </w:tr>
      <w:tr w14:paraId="5BCE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7CBF8787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图纸及相关要求</w:t>
            </w:r>
          </w:p>
        </w:tc>
        <w:tc>
          <w:tcPr>
            <w:tcW w:w="8449" w:type="dxa"/>
            <w:gridSpan w:val="8"/>
            <w:vAlign w:val="center"/>
          </w:tcPr>
          <w:p w14:paraId="16507DB0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无</w:t>
            </w:r>
          </w:p>
        </w:tc>
      </w:tr>
      <w:tr w14:paraId="20C1D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0FA4C495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技术标准及参数要求</w:t>
            </w:r>
          </w:p>
        </w:tc>
        <w:tc>
          <w:tcPr>
            <w:tcW w:w="8449" w:type="dxa"/>
            <w:gridSpan w:val="8"/>
            <w:vAlign w:val="center"/>
          </w:tcPr>
          <w:p w14:paraId="24E81376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60AB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288579CD">
            <w:pPr>
              <w:jc w:val="left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*界面划分要求</w:t>
            </w:r>
          </w:p>
        </w:tc>
        <w:tc>
          <w:tcPr>
            <w:tcW w:w="8449" w:type="dxa"/>
            <w:gridSpan w:val="8"/>
            <w:vAlign w:val="center"/>
          </w:tcPr>
          <w:p w14:paraId="525A59B2">
            <w:pPr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</w:t>
            </w:r>
          </w:p>
        </w:tc>
      </w:tr>
      <w:tr w14:paraId="6D5BF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8" w:type="dxa"/>
            <w:vAlign w:val="center"/>
          </w:tcPr>
          <w:p w14:paraId="4BCA3740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保修、售后或后期服务要求</w:t>
            </w:r>
          </w:p>
        </w:tc>
        <w:tc>
          <w:tcPr>
            <w:tcW w:w="8449" w:type="dxa"/>
            <w:gridSpan w:val="8"/>
            <w:vAlign w:val="center"/>
          </w:tcPr>
          <w:p w14:paraId="750A7BB5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 w14:paraId="65D4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768" w:type="dxa"/>
            <w:vAlign w:val="center"/>
          </w:tcPr>
          <w:p w14:paraId="27232ADF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*支付节点要求</w:t>
            </w:r>
          </w:p>
        </w:tc>
        <w:tc>
          <w:tcPr>
            <w:tcW w:w="8449" w:type="dxa"/>
            <w:gridSpan w:val="8"/>
            <w:vAlign w:val="center"/>
          </w:tcPr>
          <w:p w14:paraId="4114AFB2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100%付款</w:t>
            </w:r>
          </w:p>
        </w:tc>
      </w:tr>
      <w:tr w14:paraId="5EE12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8" w:type="dxa"/>
            <w:vAlign w:val="center"/>
          </w:tcPr>
          <w:p w14:paraId="7ED85202">
            <w:pPr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其他要求</w:t>
            </w:r>
          </w:p>
        </w:tc>
        <w:tc>
          <w:tcPr>
            <w:tcW w:w="8449" w:type="dxa"/>
            <w:gridSpan w:val="8"/>
            <w:vAlign w:val="center"/>
          </w:tcPr>
          <w:p w14:paraId="149F006F">
            <w:pPr>
              <w:jc w:val="left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无</w:t>
            </w:r>
          </w:p>
        </w:tc>
      </w:tr>
    </w:tbl>
    <w:p w14:paraId="02CBAE8D">
      <w:pPr>
        <w:rPr>
          <w:rFonts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注：带*为必填项，其他项视实际情况填写；请示流程（招标计划）、项目资料等文件需后附。</w:t>
      </w:r>
    </w:p>
    <w:sectPr>
      <w:pgSz w:w="11906" w:h="16838"/>
      <w:pgMar w:top="533" w:right="907" w:bottom="794" w:left="90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1E7B0C"/>
    <w:multiLevelType w:val="singleLevel"/>
    <w:tmpl w:val="711E7B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JjOTQxYzhjODMyMDAzZmE0MDJkMWFkNmJlNDkwYTUifQ=="/>
  </w:docVars>
  <w:rsids>
    <w:rsidRoot w:val="342E70D5"/>
    <w:rsid w:val="00150FBC"/>
    <w:rsid w:val="001E041C"/>
    <w:rsid w:val="00293258"/>
    <w:rsid w:val="003035BF"/>
    <w:rsid w:val="003C033A"/>
    <w:rsid w:val="004111E2"/>
    <w:rsid w:val="00424F1B"/>
    <w:rsid w:val="004C5E6B"/>
    <w:rsid w:val="00542131"/>
    <w:rsid w:val="00564BC0"/>
    <w:rsid w:val="005B33C4"/>
    <w:rsid w:val="005F6867"/>
    <w:rsid w:val="00633D91"/>
    <w:rsid w:val="006912E1"/>
    <w:rsid w:val="007D7687"/>
    <w:rsid w:val="008052ED"/>
    <w:rsid w:val="008D5C03"/>
    <w:rsid w:val="009A753C"/>
    <w:rsid w:val="009E1C1A"/>
    <w:rsid w:val="00AA52D6"/>
    <w:rsid w:val="00AC0CFC"/>
    <w:rsid w:val="00AE27FA"/>
    <w:rsid w:val="00B235DA"/>
    <w:rsid w:val="00B92A40"/>
    <w:rsid w:val="00CB544A"/>
    <w:rsid w:val="00D37A3F"/>
    <w:rsid w:val="00D50A96"/>
    <w:rsid w:val="00ED0DAF"/>
    <w:rsid w:val="00EF429B"/>
    <w:rsid w:val="015C51B0"/>
    <w:rsid w:val="01AC3774"/>
    <w:rsid w:val="01D15094"/>
    <w:rsid w:val="03737A47"/>
    <w:rsid w:val="06C66CFF"/>
    <w:rsid w:val="08E33103"/>
    <w:rsid w:val="0AC15FA3"/>
    <w:rsid w:val="0B543453"/>
    <w:rsid w:val="0BC32105"/>
    <w:rsid w:val="0D2658A2"/>
    <w:rsid w:val="0F7E3FE1"/>
    <w:rsid w:val="0FF56606"/>
    <w:rsid w:val="10545A59"/>
    <w:rsid w:val="10D43622"/>
    <w:rsid w:val="10E85D98"/>
    <w:rsid w:val="118D733C"/>
    <w:rsid w:val="11AB600B"/>
    <w:rsid w:val="12971B2C"/>
    <w:rsid w:val="12FF0188"/>
    <w:rsid w:val="14641899"/>
    <w:rsid w:val="147768EA"/>
    <w:rsid w:val="14B017D2"/>
    <w:rsid w:val="14BE0725"/>
    <w:rsid w:val="172911E6"/>
    <w:rsid w:val="18AE1818"/>
    <w:rsid w:val="1C1B43D2"/>
    <w:rsid w:val="1C4515D1"/>
    <w:rsid w:val="1D31578F"/>
    <w:rsid w:val="1D3568D7"/>
    <w:rsid w:val="1D5C4048"/>
    <w:rsid w:val="1F6A2B6C"/>
    <w:rsid w:val="2130097A"/>
    <w:rsid w:val="22DF73CD"/>
    <w:rsid w:val="23266232"/>
    <w:rsid w:val="254C02EC"/>
    <w:rsid w:val="255E12AF"/>
    <w:rsid w:val="25D504FF"/>
    <w:rsid w:val="25F0369F"/>
    <w:rsid w:val="265B0C9C"/>
    <w:rsid w:val="271B6840"/>
    <w:rsid w:val="27943165"/>
    <w:rsid w:val="27F61F7D"/>
    <w:rsid w:val="29604CAB"/>
    <w:rsid w:val="29851533"/>
    <w:rsid w:val="2A1063BC"/>
    <w:rsid w:val="2AA65B04"/>
    <w:rsid w:val="2B973F5C"/>
    <w:rsid w:val="2DC96A30"/>
    <w:rsid w:val="2E8B51FC"/>
    <w:rsid w:val="2E8F7410"/>
    <w:rsid w:val="2F190459"/>
    <w:rsid w:val="2F503997"/>
    <w:rsid w:val="30B61F2E"/>
    <w:rsid w:val="30D815D0"/>
    <w:rsid w:val="30F86842"/>
    <w:rsid w:val="31482D06"/>
    <w:rsid w:val="315946D9"/>
    <w:rsid w:val="320B1534"/>
    <w:rsid w:val="323942F8"/>
    <w:rsid w:val="32662482"/>
    <w:rsid w:val="3275328B"/>
    <w:rsid w:val="33E118EB"/>
    <w:rsid w:val="342E70D5"/>
    <w:rsid w:val="35D408E8"/>
    <w:rsid w:val="3666694A"/>
    <w:rsid w:val="36A37ABB"/>
    <w:rsid w:val="377F2462"/>
    <w:rsid w:val="38C26E75"/>
    <w:rsid w:val="39712ED9"/>
    <w:rsid w:val="39F06F70"/>
    <w:rsid w:val="3A2A4F7A"/>
    <w:rsid w:val="3C5065B2"/>
    <w:rsid w:val="3C644996"/>
    <w:rsid w:val="3C7D3EBA"/>
    <w:rsid w:val="3CF81BEF"/>
    <w:rsid w:val="3E02032E"/>
    <w:rsid w:val="3E2E176C"/>
    <w:rsid w:val="3E5C3955"/>
    <w:rsid w:val="3F7B0026"/>
    <w:rsid w:val="402D1859"/>
    <w:rsid w:val="40DE2DE3"/>
    <w:rsid w:val="411C03FB"/>
    <w:rsid w:val="414A4154"/>
    <w:rsid w:val="4192105F"/>
    <w:rsid w:val="41A90E7A"/>
    <w:rsid w:val="42E17F00"/>
    <w:rsid w:val="43281B62"/>
    <w:rsid w:val="43DE650E"/>
    <w:rsid w:val="45207F93"/>
    <w:rsid w:val="45647843"/>
    <w:rsid w:val="45E36D4A"/>
    <w:rsid w:val="46B433C6"/>
    <w:rsid w:val="4719790D"/>
    <w:rsid w:val="47776185"/>
    <w:rsid w:val="48AC1250"/>
    <w:rsid w:val="48DF33D4"/>
    <w:rsid w:val="493579B8"/>
    <w:rsid w:val="4984543A"/>
    <w:rsid w:val="4B486E71"/>
    <w:rsid w:val="4CCE54D4"/>
    <w:rsid w:val="4DCF7011"/>
    <w:rsid w:val="4E020A7E"/>
    <w:rsid w:val="4E8567CB"/>
    <w:rsid w:val="4E9F39D8"/>
    <w:rsid w:val="4FF82750"/>
    <w:rsid w:val="522378D0"/>
    <w:rsid w:val="52512763"/>
    <w:rsid w:val="53643010"/>
    <w:rsid w:val="54DB76A5"/>
    <w:rsid w:val="55317969"/>
    <w:rsid w:val="55CC644B"/>
    <w:rsid w:val="55DF3219"/>
    <w:rsid w:val="56874356"/>
    <w:rsid w:val="56A61C28"/>
    <w:rsid w:val="588A274D"/>
    <w:rsid w:val="59204ACB"/>
    <w:rsid w:val="59440F4D"/>
    <w:rsid w:val="5B4B1565"/>
    <w:rsid w:val="5B9B7485"/>
    <w:rsid w:val="5BCD51C4"/>
    <w:rsid w:val="5C225837"/>
    <w:rsid w:val="5CCA4137"/>
    <w:rsid w:val="5D26535D"/>
    <w:rsid w:val="5D465377"/>
    <w:rsid w:val="5DAF73C1"/>
    <w:rsid w:val="5DEE4C30"/>
    <w:rsid w:val="5F443E10"/>
    <w:rsid w:val="5FF7215C"/>
    <w:rsid w:val="615A368D"/>
    <w:rsid w:val="622B4155"/>
    <w:rsid w:val="645376F4"/>
    <w:rsid w:val="654824D4"/>
    <w:rsid w:val="65C22510"/>
    <w:rsid w:val="66860279"/>
    <w:rsid w:val="68890206"/>
    <w:rsid w:val="6893600D"/>
    <w:rsid w:val="692E3C68"/>
    <w:rsid w:val="69C2021E"/>
    <w:rsid w:val="69F97B76"/>
    <w:rsid w:val="6A584E20"/>
    <w:rsid w:val="6AE57AC0"/>
    <w:rsid w:val="6B4A5EFE"/>
    <w:rsid w:val="6B8F438D"/>
    <w:rsid w:val="6BD929A0"/>
    <w:rsid w:val="6C125956"/>
    <w:rsid w:val="6C584ECF"/>
    <w:rsid w:val="6C657179"/>
    <w:rsid w:val="6C960240"/>
    <w:rsid w:val="6D0B2471"/>
    <w:rsid w:val="6D1F1741"/>
    <w:rsid w:val="6D414A1D"/>
    <w:rsid w:val="6DA71E62"/>
    <w:rsid w:val="6E2525A5"/>
    <w:rsid w:val="6F464A26"/>
    <w:rsid w:val="704E4817"/>
    <w:rsid w:val="71092E56"/>
    <w:rsid w:val="71E84AEE"/>
    <w:rsid w:val="72D4230E"/>
    <w:rsid w:val="72E9232D"/>
    <w:rsid w:val="744D3122"/>
    <w:rsid w:val="75783DF1"/>
    <w:rsid w:val="758720E7"/>
    <w:rsid w:val="76E934EC"/>
    <w:rsid w:val="782D11B6"/>
    <w:rsid w:val="783E2796"/>
    <w:rsid w:val="799F0E16"/>
    <w:rsid w:val="7B872377"/>
    <w:rsid w:val="7D11554A"/>
    <w:rsid w:val="7D593C51"/>
    <w:rsid w:val="7DE918E4"/>
    <w:rsid w:val="7E114DDB"/>
    <w:rsid w:val="7E1C57BB"/>
    <w:rsid w:val="7E29333C"/>
    <w:rsid w:val="7E3244F5"/>
    <w:rsid w:val="7E9B275D"/>
    <w:rsid w:val="7EBC0E99"/>
    <w:rsid w:val="7ECB4974"/>
    <w:rsid w:val="7F70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spacing w:line="360" w:lineRule="auto"/>
      <w:ind w:firstLine="630"/>
    </w:pPr>
    <w:rPr>
      <w:rFonts w:ascii="宋体" w:hAnsi="宋体"/>
      <w:kern w:val="0"/>
      <w:sz w:val="24"/>
      <w:szCs w:val="20"/>
    </w:rPr>
  </w:style>
  <w:style w:type="paragraph" w:styleId="5">
    <w:name w:val="footer"/>
    <w:basedOn w:val="1"/>
    <w:link w:val="14"/>
    <w:qFormat/>
    <w:uiPriority w:val="0"/>
    <w:pPr>
      <w:tabs>
        <w:tab w:val="center" w:pos="4320"/>
        <w:tab w:val="right" w:pos="8640"/>
      </w:tabs>
    </w:pPr>
  </w:style>
  <w:style w:type="paragraph" w:styleId="6">
    <w:name w:val="header"/>
    <w:basedOn w:val="1"/>
    <w:link w:val="13"/>
    <w:qFormat/>
    <w:uiPriority w:val="0"/>
    <w:pPr>
      <w:tabs>
        <w:tab w:val="center" w:pos="4320"/>
        <w:tab w:val="right" w:pos="8640"/>
      </w:tabs>
    </w:pPr>
  </w:style>
  <w:style w:type="paragraph" w:styleId="7">
    <w:name w:val="Normal (Web)"/>
    <w:basedOn w:val="1"/>
    <w:unhideWhenUsed/>
    <w:qFormat/>
    <w:uiPriority w:val="99"/>
    <w:pPr>
      <w:jc w:val="left"/>
    </w:pPr>
    <w:rPr>
      <w:rFonts w:ascii="Times New Roman" w:hAnsi="Times New Roman"/>
      <w:kern w:val="0"/>
      <w:sz w:val="24"/>
      <w:szCs w:val="20"/>
    </w:rPr>
  </w:style>
  <w:style w:type="paragraph" w:styleId="8">
    <w:name w:val="Body Text First Indent 2"/>
    <w:basedOn w:val="4"/>
    <w:unhideWhenUsed/>
    <w:qFormat/>
    <w:uiPriority w:val="99"/>
    <w:pPr>
      <w:spacing w:after="120"/>
      <w:ind w:left="420" w:leftChars="200" w:firstLine="420"/>
    </w:pPr>
    <w:rPr>
      <w:rFonts w:ascii="Calibri" w:hAnsi="Calibri" w:eastAsia="宋体" w:cs="Times New Roma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856</Words>
  <Characters>915</Characters>
  <Lines>10</Lines>
  <Paragraphs>3</Paragraphs>
  <TotalTime>69</TotalTime>
  <ScaleCrop>false</ScaleCrop>
  <LinksUpToDate>false</LinksUpToDate>
  <CharactersWithSpaces>928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2025-10-20T02:15:00Z</dcterms:created>
  <dc:creator>YQY</dc:creator>
  <cp:lastModifiedBy>wayne wang</cp:lastModifiedBy>
  <cp:lastPrinted>2023-02-28T04:22:00Z</cp:lastPrinted>
  <dcterms:modified xsi:type="dcterms:W3CDTF">2025-10-29T12:51:30Z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27873C5F15804ADF842CC4077CB3A34C_13</vt:lpwstr>
  </property>
  <property fmtid="{D5CDD505-2E9C-101B-9397-08002B2CF9AE}" pid="4" name="KSOTemplateDocerSaveRecord">
    <vt:lpwstr>eyJoZGlkIjoiMWQwMjMwOTRlNDYzNDM5MWU2NWI5OWVhODRhMjE4NGMiLCJ1c2VySWQiOiI0NTY4NzU1NDcifQ==</vt:lpwstr>
  </property>
</Properties>
</file>