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DA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龙华街道城市管家项目定点维修服务</w:t>
      </w:r>
    </w:p>
    <w:p w14:paraId="0FA86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val="en-US" w:eastAsia="zh-CN"/>
        </w:rPr>
        <w:t>采购公开遴选方案</w:t>
      </w:r>
    </w:p>
    <w:p w14:paraId="5ABE42D3">
      <w:pPr>
        <w:spacing w:line="560" w:lineRule="exact"/>
        <w:ind w:firstLine="640" w:firstLineChars="200"/>
        <w:rPr>
          <w:rFonts w:hint="eastAsia" w:ascii="黑体" w:hAnsi="黑体" w:eastAsia="黑体" w:cs="黑体"/>
          <w:b w:val="0"/>
          <w:bCs/>
          <w:color w:val="auto"/>
          <w:sz w:val="32"/>
          <w:szCs w:val="32"/>
          <w:lang w:val="en-US" w:eastAsia="zh-CN"/>
        </w:rPr>
      </w:pPr>
    </w:p>
    <w:p w14:paraId="276C7F42">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评标方法</w:t>
      </w:r>
    </w:p>
    <w:p w14:paraId="518449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本次评标采用综合评分法。每一投标人的最终得分为所有评委给其评分的算术平均值。</w:t>
      </w:r>
    </w:p>
    <w:p w14:paraId="1213A73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本项目评分标准为：</w:t>
      </w:r>
    </w:p>
    <w:tbl>
      <w:tblPr>
        <w:tblStyle w:val="13"/>
        <w:tblpPr w:leftFromText="180" w:rightFromText="180" w:vertAnchor="text" w:horzAnchor="page" w:tblpX="1557" w:tblpY="143"/>
        <w:tblOverlap w:val="never"/>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22"/>
      </w:tblGrid>
      <w:tr w14:paraId="10FEF9ED">
        <w:trPr>
          <w:trHeight w:val="514" w:hRule="atLeast"/>
          <w:jc w:val="center"/>
        </w:trPr>
        <w:tc>
          <w:tcPr>
            <w:tcW w:w="4485" w:type="dxa"/>
            <w:noWrap w:val="0"/>
            <w:vAlign w:val="center"/>
          </w:tcPr>
          <w:p w14:paraId="77FDD8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评分因素</w:t>
            </w:r>
          </w:p>
        </w:tc>
        <w:tc>
          <w:tcPr>
            <w:tcW w:w="4522" w:type="dxa"/>
            <w:noWrap w:val="0"/>
            <w:vAlign w:val="center"/>
          </w:tcPr>
          <w:p w14:paraId="6AFCC8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分值分配</w:t>
            </w:r>
          </w:p>
        </w:tc>
      </w:tr>
      <w:tr w14:paraId="76E9D07A">
        <w:trPr>
          <w:trHeight w:val="397" w:hRule="atLeast"/>
          <w:jc w:val="center"/>
        </w:trPr>
        <w:tc>
          <w:tcPr>
            <w:tcW w:w="4485" w:type="dxa"/>
            <w:noWrap w:val="0"/>
            <w:vAlign w:val="center"/>
          </w:tcPr>
          <w:p w14:paraId="429B6D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商务部分</w:t>
            </w:r>
          </w:p>
        </w:tc>
        <w:tc>
          <w:tcPr>
            <w:tcW w:w="4522" w:type="dxa"/>
            <w:noWrap w:val="0"/>
            <w:vAlign w:val="center"/>
          </w:tcPr>
          <w:p w14:paraId="753AB5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36BA02C4">
        <w:trPr>
          <w:trHeight w:val="397" w:hRule="atLeast"/>
          <w:jc w:val="center"/>
        </w:trPr>
        <w:tc>
          <w:tcPr>
            <w:tcW w:w="4485" w:type="dxa"/>
            <w:noWrap w:val="0"/>
            <w:vAlign w:val="center"/>
          </w:tcPr>
          <w:p w14:paraId="25544F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技术部分</w:t>
            </w:r>
          </w:p>
        </w:tc>
        <w:tc>
          <w:tcPr>
            <w:tcW w:w="4522" w:type="dxa"/>
            <w:noWrap w:val="0"/>
            <w:vAlign w:val="center"/>
          </w:tcPr>
          <w:p w14:paraId="1CDEC3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624DCD88">
        <w:trPr>
          <w:trHeight w:val="397" w:hRule="atLeast"/>
          <w:jc w:val="center"/>
        </w:trPr>
        <w:tc>
          <w:tcPr>
            <w:tcW w:w="4485" w:type="dxa"/>
            <w:noWrap w:val="0"/>
            <w:vAlign w:val="center"/>
          </w:tcPr>
          <w:p w14:paraId="0709254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投标报价</w:t>
            </w:r>
          </w:p>
        </w:tc>
        <w:tc>
          <w:tcPr>
            <w:tcW w:w="4522" w:type="dxa"/>
            <w:noWrap w:val="0"/>
            <w:vAlign w:val="center"/>
          </w:tcPr>
          <w:p w14:paraId="4BD5BF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30分</w:t>
            </w:r>
          </w:p>
        </w:tc>
      </w:tr>
      <w:tr w14:paraId="1E820AD0">
        <w:trPr>
          <w:trHeight w:val="397" w:hRule="atLeast"/>
          <w:jc w:val="center"/>
        </w:trPr>
        <w:tc>
          <w:tcPr>
            <w:tcW w:w="4485" w:type="dxa"/>
            <w:noWrap w:val="0"/>
            <w:vAlign w:val="center"/>
          </w:tcPr>
          <w:p w14:paraId="63C118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合计</w:t>
            </w:r>
          </w:p>
        </w:tc>
        <w:tc>
          <w:tcPr>
            <w:tcW w:w="4522" w:type="dxa"/>
            <w:noWrap w:val="0"/>
            <w:vAlign w:val="center"/>
          </w:tcPr>
          <w:p w14:paraId="1AFA49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100分</w:t>
            </w:r>
          </w:p>
        </w:tc>
      </w:tr>
    </w:tbl>
    <w:p w14:paraId="6320057E">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投标人的报价方法：</w:t>
      </w:r>
    </w:p>
    <w:p w14:paraId="6C2D1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投标人按折扣率进行报价，填报的“折扣率”须满足“0＜折扣率≤1”（最多保留小数点后两位），未按此要求填写将作投标无效处理；（比如投标人报9折，则投标报价一览表中的“</w:t>
      </w:r>
      <w:r>
        <w:rPr>
          <w:rFonts w:hint="eastAsia" w:ascii="仿宋_GB2312" w:hAnsi="仿宋_GB2312" w:eastAsia="仿宋_GB2312" w:cs="仿宋_GB2312"/>
          <w:b w:val="0"/>
          <w:bCs/>
          <w:snapToGrid w:val="0"/>
          <w:color w:val="auto"/>
          <w:kern w:val="2"/>
          <w:sz w:val="32"/>
          <w:szCs w:val="32"/>
          <w:highlight w:val="none"/>
          <w:lang w:val="en-US" w:eastAsia="zh-CN"/>
        </w:rPr>
        <w:t>投标折扣率”一栏</w:t>
      </w:r>
      <w:r>
        <w:rPr>
          <w:rFonts w:hint="eastAsia" w:ascii="仿宋_GB2312" w:hAnsi="仿宋_GB2312" w:eastAsia="仿宋_GB2312" w:cs="仿宋_GB2312"/>
          <w:b w:val="0"/>
          <w:bCs/>
          <w:snapToGrid w:val="0"/>
          <w:color w:val="auto"/>
          <w:kern w:val="2"/>
          <w:sz w:val="32"/>
          <w:szCs w:val="32"/>
          <w:lang w:val="en-US" w:eastAsia="zh-CN"/>
        </w:rPr>
        <w:t>填写0.9）。</w:t>
      </w:r>
    </w:p>
    <w:p w14:paraId="235B3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报价分统一采用低价优先法计算，即满足招标文件要求且折扣率最低者其报价分为满分（即基准折扣率）。其他投标人的报价分按照下列公式计算：</w:t>
      </w:r>
    </w:p>
    <w:p w14:paraId="5D76E5B0">
      <w:pPr>
        <w:pStyle w:val="2"/>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报价得分=基准折扣率/投标折扣率×</w:t>
      </w:r>
      <w:r>
        <w:rPr>
          <w:rFonts w:hint="eastAsia" w:ascii="仿宋_GB2312" w:hAnsi="仿宋_GB2312" w:eastAsia="仿宋_GB2312" w:cs="仿宋_GB2312"/>
          <w:sz w:val="32"/>
          <w:szCs w:val="32"/>
          <w:highlight w:val="none"/>
          <w:lang w:val="en-US" w:eastAsia="zh-CN"/>
        </w:rPr>
        <w:t>30×100%.</w:t>
      </w:r>
    </w:p>
    <w:p w14:paraId="4E65EB6D">
      <w:pPr>
        <w:pStyle w:val="16"/>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4EB44E6A">
      <w:pPr>
        <w:spacing w:line="560" w:lineRule="exact"/>
        <w:ind w:leftChars="0"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评分因素</w:t>
      </w:r>
    </w:p>
    <w:tbl>
      <w:tblPr>
        <w:tblStyle w:val="13"/>
        <w:tblW w:w="53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662"/>
        <w:gridCol w:w="7046"/>
      </w:tblGrid>
      <w:tr w14:paraId="5999E419">
        <w:trPr>
          <w:trHeight w:val="454" w:hRule="atLeast"/>
          <w:tblHeader/>
          <w:jc w:val="center"/>
        </w:trPr>
        <w:tc>
          <w:tcPr>
            <w:tcW w:w="1908" w:type="dxa"/>
            <w:gridSpan w:val="2"/>
            <w:noWrap w:val="0"/>
            <w:vAlign w:val="center"/>
          </w:tcPr>
          <w:p w14:paraId="24C23052">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662" w:type="dxa"/>
            <w:noWrap w:val="0"/>
            <w:vAlign w:val="center"/>
          </w:tcPr>
          <w:p w14:paraId="40A79998">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7046" w:type="dxa"/>
            <w:noWrap w:val="0"/>
            <w:vAlign w:val="center"/>
          </w:tcPr>
          <w:p w14:paraId="35FB9E1E">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57B1A84B">
        <w:trPr>
          <w:trHeight w:val="454" w:hRule="atLeast"/>
          <w:jc w:val="center"/>
        </w:trPr>
        <w:tc>
          <w:tcPr>
            <w:tcW w:w="720" w:type="dxa"/>
            <w:vMerge w:val="restart"/>
            <w:noWrap w:val="0"/>
            <w:vAlign w:val="center"/>
          </w:tcPr>
          <w:p w14:paraId="02769751">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部分</w:t>
            </w:r>
          </w:p>
          <w:p w14:paraId="10B4B937">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noWrap w:val="0"/>
            <w:vAlign w:val="center"/>
          </w:tcPr>
          <w:p w14:paraId="21B63ED8">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同类项目</w:t>
            </w:r>
            <w:r>
              <w:rPr>
                <w:rFonts w:hint="eastAsia" w:ascii="仿宋" w:hAnsi="仿宋" w:eastAsia="仿宋" w:cs="仿宋"/>
                <w:color w:val="auto"/>
                <w:sz w:val="24"/>
                <w:szCs w:val="24"/>
                <w:highlight w:val="none"/>
              </w:rPr>
              <w:t>业绩</w:t>
            </w:r>
          </w:p>
        </w:tc>
        <w:tc>
          <w:tcPr>
            <w:tcW w:w="662" w:type="dxa"/>
            <w:noWrap w:val="0"/>
            <w:vAlign w:val="center"/>
          </w:tcPr>
          <w:p w14:paraId="6D34762D">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46" w:type="dxa"/>
            <w:noWrap w:val="0"/>
            <w:vAlign w:val="center"/>
          </w:tcPr>
          <w:p w14:paraId="32EB9ED0">
            <w:pPr>
              <w:spacing w:line="32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考察内容：</w:t>
            </w:r>
          </w:p>
          <w:p w14:paraId="1BEF8F3E">
            <w:pPr>
              <w:spacing w:line="32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投标人近三年内（自2022年11月1日起至投标截止日，以合同签订时间为准）：</w:t>
            </w:r>
          </w:p>
          <w:p w14:paraId="335701CB">
            <w:pPr>
              <w:numPr>
                <w:ilvl w:val="0"/>
                <w:numId w:val="0"/>
              </w:numPr>
              <w:spacing w:line="3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w:t>
            </w:r>
            <w:r>
              <w:rPr>
                <w:rFonts w:hint="eastAsia" w:ascii="仿宋" w:hAnsi="仿宋" w:eastAsia="仿宋" w:cs="仿宋"/>
                <w:b w:val="0"/>
                <w:bCs/>
                <w:snapToGrid w:val="0"/>
                <w:color w:val="auto"/>
                <w:kern w:val="2"/>
                <w:sz w:val="24"/>
                <w:szCs w:val="24"/>
                <w:highlight w:val="none"/>
                <w:lang w:val="en-US" w:eastAsia="zh-CN"/>
              </w:rPr>
              <w:t>车辆维修服务</w:t>
            </w:r>
            <w:r>
              <w:rPr>
                <w:rFonts w:hint="eastAsia" w:ascii="仿宋" w:hAnsi="仿宋" w:eastAsia="仿宋" w:cs="仿宋"/>
                <w:b w:val="0"/>
                <w:bCs w:val="0"/>
                <w:color w:val="auto"/>
                <w:sz w:val="24"/>
                <w:szCs w:val="24"/>
                <w:highlight w:val="none"/>
                <w:lang w:val="en-US" w:eastAsia="zh-CN"/>
              </w:rPr>
              <w:t>业绩案例的，以客户为单位，每提供1个服务客户单位业绩案例得2分，最高得8分。</w:t>
            </w:r>
          </w:p>
          <w:p w14:paraId="3560CD86">
            <w:pPr>
              <w:spacing w:line="32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证明材料：</w:t>
            </w:r>
          </w:p>
          <w:p w14:paraId="76ED6E6F">
            <w:pPr>
              <w:spacing w:line="320" w:lineRule="exact"/>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要求同时提供项目中标通知书或合同关键页（应包含但不限于合同甲乙双方名称、服务项目名称、涉及业绩的服务内容、服务期限、签订合同时间、甲乙双方公章等关键信息）扫描件及合同履行期间至少一个月的流水佐证材料（如发票扫描件），原件备查。</w:t>
            </w:r>
          </w:p>
          <w:p w14:paraId="56D42DFE">
            <w:pPr>
              <w:spacing w:line="320" w:lineRule="exact"/>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2.通过合同关键信息无法判断是否得分的，还须同时提供能证明得分的其他证明资料，如合同甲方出具的证明文件等。</w:t>
            </w:r>
          </w:p>
          <w:p w14:paraId="6B755C7E">
            <w:pPr>
              <w:spacing w:line="3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vertAlign w:val="baseline"/>
                <w:lang w:val="en-US" w:eastAsia="zh-CN"/>
              </w:rPr>
              <w:t>3.未按要求提供相关材料，或因证明材料提供不清晰、信息存在缺漏等情况导致专家无法凭所提供资料判断是否得分的，一律作不得分处理。</w:t>
            </w:r>
          </w:p>
        </w:tc>
      </w:tr>
      <w:tr w14:paraId="1060E5B3">
        <w:trPr>
          <w:trHeight w:val="2062" w:hRule="atLeast"/>
          <w:jc w:val="center"/>
        </w:trPr>
        <w:tc>
          <w:tcPr>
            <w:tcW w:w="720" w:type="dxa"/>
            <w:vMerge w:val="continue"/>
            <w:noWrap w:val="0"/>
            <w:vAlign w:val="center"/>
          </w:tcPr>
          <w:p w14:paraId="3D53AE24">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5A0A6836">
            <w:pPr>
              <w:keepNext w:val="0"/>
              <w:keepLines w:val="0"/>
              <w:widowControl/>
              <w:suppressLineNumbers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环卫作业车辆生产厂家授权</w:t>
            </w:r>
          </w:p>
          <w:p w14:paraId="408423FA">
            <w:pPr>
              <w:adjustRightInd w:val="0"/>
              <w:snapToGrid w:val="0"/>
              <w:spacing w:line="320" w:lineRule="exact"/>
              <w:jc w:val="center"/>
              <w:rPr>
                <w:rFonts w:hint="eastAsia" w:ascii="仿宋" w:hAnsi="仿宋" w:eastAsia="仿宋" w:cs="仿宋"/>
                <w:color w:val="auto"/>
                <w:sz w:val="24"/>
                <w:szCs w:val="24"/>
                <w:highlight w:val="none"/>
                <w:lang w:val="en-US" w:eastAsia="zh-CN"/>
              </w:rPr>
            </w:pPr>
          </w:p>
        </w:tc>
        <w:tc>
          <w:tcPr>
            <w:tcW w:w="662" w:type="dxa"/>
            <w:noWrap w:val="0"/>
            <w:vAlign w:val="center"/>
          </w:tcPr>
          <w:p w14:paraId="51D9CC40">
            <w:pPr>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046" w:type="dxa"/>
            <w:noWrap w:val="0"/>
            <w:vAlign w:val="center"/>
          </w:tcPr>
          <w:p w14:paraId="70320254">
            <w:pPr>
              <w:pStyle w:val="2"/>
              <w:spacing w:line="32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04129B97">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提供1家相应环卫作业车辆生产厂家授权的有效维修服务证明或合作协议的，得5分，最高得5分。</w:t>
            </w:r>
          </w:p>
          <w:p w14:paraId="5F5CFAEE">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48E07C88">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1.投标人需提供相应生产厂家授权的有效特约维修服务证明或合作协议复印件并加盖公章；</w:t>
            </w:r>
          </w:p>
          <w:p w14:paraId="4879C34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2.环卫作业车辆厂家包含三一、中联、东风、徐工、福龙马等。</w:t>
            </w:r>
          </w:p>
        </w:tc>
      </w:tr>
      <w:tr w14:paraId="37F8389E">
        <w:trPr>
          <w:trHeight w:val="1878" w:hRule="atLeast"/>
          <w:jc w:val="center"/>
        </w:trPr>
        <w:tc>
          <w:tcPr>
            <w:tcW w:w="720" w:type="dxa"/>
            <w:vMerge w:val="continue"/>
            <w:noWrap w:val="0"/>
            <w:vAlign w:val="center"/>
          </w:tcPr>
          <w:p w14:paraId="10BF61E9">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471D9A67">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维修设备情况</w:t>
            </w:r>
          </w:p>
        </w:tc>
        <w:tc>
          <w:tcPr>
            <w:tcW w:w="662" w:type="dxa"/>
            <w:noWrap w:val="0"/>
            <w:vAlign w:val="center"/>
          </w:tcPr>
          <w:p w14:paraId="02785E23">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7046" w:type="dxa"/>
            <w:noWrap w:val="0"/>
            <w:vAlign w:val="center"/>
          </w:tcPr>
          <w:p w14:paraId="6CBEDE86">
            <w:pPr>
              <w:pStyle w:val="2"/>
              <w:spacing w:line="320" w:lineRule="exact"/>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3B3A904B">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1.投标人具有举升机（或地藏式小剪）数量≥4个，得5分；否则不得分。</w:t>
            </w:r>
          </w:p>
          <w:p w14:paraId="576F4C7C">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其他维修设备情况：投标人具备以下维修设备（功能相同即可）的，每具备一项得0.6分，不可重复计分，每一项累加计分，最高得9分：①轮胎动平衡机；②大梁校正仪；③发动机电脑检测仪；④干磨机；⑤尾气检测仪；⑥空调制冷加注设备；⑦空气压缩机；⑧自动变速箱换油设备；⑨刹车换油设备；⑩二氧化碳保护焊；⑪气缸压力表；⑫铆刹车片机；⑬液压油压力表⑭大风炮／小风炮⑮打黄油设备。</w:t>
            </w:r>
          </w:p>
          <w:p w14:paraId="3A03AD1D">
            <w:pPr>
              <w:pStyle w:val="2"/>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3E531941">
            <w:pPr>
              <w:pStyle w:val="2"/>
              <w:spacing w:line="320" w:lineRule="exact"/>
              <w:ind w:firstLine="480"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提供设备现场图片、购置合同或租赁合同（如为租赁设备需提供近一个月的租赁费用佐证材料（如发票）扫描件），购置合同或租赁合同须是属于投标人或投标人法定代表，因证明材料提供不清晰、信息存在缺漏等情况导致专家无法凭所提供资料判断是否得分的，一律作不得分处理。</w:t>
            </w:r>
          </w:p>
        </w:tc>
      </w:tr>
      <w:tr w14:paraId="1B5C2AC9">
        <w:trPr>
          <w:trHeight w:val="5130" w:hRule="atLeast"/>
          <w:jc w:val="center"/>
        </w:trPr>
        <w:tc>
          <w:tcPr>
            <w:tcW w:w="720" w:type="dxa"/>
            <w:vMerge w:val="continue"/>
            <w:noWrap w:val="0"/>
            <w:vAlign w:val="center"/>
          </w:tcPr>
          <w:p w14:paraId="37CE5307">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67F6A408">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拟投入本项目的场地情况</w:t>
            </w:r>
          </w:p>
        </w:tc>
        <w:tc>
          <w:tcPr>
            <w:tcW w:w="662" w:type="dxa"/>
            <w:noWrap w:val="0"/>
            <w:vAlign w:val="center"/>
          </w:tcPr>
          <w:p w14:paraId="56554BD1">
            <w:pPr>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46" w:type="dxa"/>
            <w:noWrap w:val="0"/>
            <w:vAlign w:val="center"/>
          </w:tcPr>
          <w:p w14:paraId="7748EC2E">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772BA6F2">
            <w:pPr>
              <w:spacing w:line="32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1.根据</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val="en-US" w:eastAsia="zh-CN"/>
              </w:rPr>
              <w:t>在招标人业务所在区域内（龙华街道内）的经营场地材料的进行评分，本小项满分得8分：</w:t>
            </w:r>
          </w:p>
          <w:p w14:paraId="1447B80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（1）经营场地面积≥2000平方米，得8分；</w:t>
            </w:r>
          </w:p>
          <w:p w14:paraId="4E3DEC4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（2）1000平方米≤经营面积＜2000平方米，得5分；</w:t>
            </w:r>
          </w:p>
          <w:p w14:paraId="29959A8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（3）500平方米≤经营面积＜1000平方米，得3分；</w:t>
            </w:r>
          </w:p>
          <w:p w14:paraId="7B7100B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（4）经营面积＜500平方米的，得0分。</w:t>
            </w:r>
          </w:p>
          <w:p w14:paraId="22497305">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2.根据投标人提供的承诺进行评分，本小项满分得3分：</w:t>
            </w:r>
          </w:p>
          <w:p w14:paraId="7009332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投标人承诺：“一旦我公司中标本项目，将在中标通知发布之日起 15 个工作日内，在项目服务所在地内（龙华街道范围内）租赁办公维修场地，租赁面积不小于2000㎡，切实满足车辆维修要求。”，提供加盖公章的承诺函扫描件，得3分；未按要求提供或承诺内容不符合要求的，不得分。</w:t>
            </w:r>
          </w:p>
          <w:p w14:paraId="3B16F17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上述1、2项不重复得分。</w:t>
            </w:r>
          </w:p>
          <w:p w14:paraId="6BF57764">
            <w:pPr>
              <w:pStyle w:val="2"/>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30BF2085">
            <w:pPr>
              <w:spacing w:line="320" w:lineRule="exact"/>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具有固定上述相关场地的，提供使用期限有效的相关房产证明或房屋租赁合同（且房屋租赁合同的有效期自开标截止之日起不得少于6个月），房产所有权是属于投标人或投标人法定代表；经营场地面积包含室外面积和室外面积；</w:t>
            </w:r>
          </w:p>
          <w:p w14:paraId="5FDBA4A3">
            <w:pPr>
              <w:spacing w:line="320" w:lineRule="exact"/>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sz w:val="24"/>
                <w:szCs w:val="24"/>
                <w:vertAlign w:val="baseline"/>
                <w:lang w:val="en-US" w:eastAsia="zh-CN"/>
              </w:rPr>
              <w:t>2.以上资料均要求提供复印件，原件备查。评分中出现无证明资料或无法凭所提供资料判断是否得分的情况，相应评分内容作不得分处理。</w:t>
            </w:r>
          </w:p>
        </w:tc>
      </w:tr>
      <w:tr w14:paraId="19F47231">
        <w:trPr>
          <w:trHeight w:val="5130" w:hRule="atLeast"/>
          <w:jc w:val="center"/>
        </w:trPr>
        <w:tc>
          <w:tcPr>
            <w:tcW w:w="720" w:type="dxa"/>
            <w:vMerge w:val="restart"/>
            <w:noWrap w:val="0"/>
            <w:vAlign w:val="center"/>
          </w:tcPr>
          <w:p w14:paraId="4299BF80">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p w14:paraId="0436C129">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shd w:val="clear" w:color="auto" w:fill="auto"/>
            <w:noWrap w:val="0"/>
            <w:vAlign w:val="center"/>
          </w:tcPr>
          <w:p w14:paraId="2765F1B7">
            <w:pPr>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拟安排的团队成员维修技术人员情况</w:t>
            </w:r>
          </w:p>
        </w:tc>
        <w:tc>
          <w:tcPr>
            <w:tcW w:w="662" w:type="dxa"/>
            <w:shd w:val="clear" w:color="auto" w:fill="auto"/>
            <w:noWrap w:val="0"/>
            <w:vAlign w:val="center"/>
          </w:tcPr>
          <w:p w14:paraId="4227CAA3">
            <w:pPr>
              <w:spacing w:line="320" w:lineRule="exact"/>
              <w:jc w:val="center"/>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15</w:t>
            </w:r>
          </w:p>
        </w:tc>
        <w:tc>
          <w:tcPr>
            <w:tcW w:w="7046" w:type="dxa"/>
            <w:shd w:val="clear" w:color="auto" w:fill="auto"/>
            <w:noWrap w:val="0"/>
            <w:vAlign w:val="center"/>
          </w:tcPr>
          <w:p w14:paraId="34EBB45B">
            <w:pPr>
              <w:spacing w:line="320" w:lineRule="exact"/>
              <w:ind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考察内容：</w:t>
            </w:r>
          </w:p>
          <w:p w14:paraId="2BB724AF">
            <w:pPr>
              <w:spacing w:line="3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拟安排的维修技术人员中，拟安排的团队成员维修技术人员需为自有员工（以社保为准）</w:t>
            </w:r>
            <w:r>
              <w:rPr>
                <w:rFonts w:hint="eastAsia" w:ascii="仿宋" w:hAnsi="仿宋" w:eastAsia="仿宋" w:cs="仿宋"/>
                <w:color w:val="auto"/>
                <w:sz w:val="24"/>
                <w:szCs w:val="24"/>
                <w:highlight w:val="none"/>
                <w:lang w:eastAsia="zh-CN"/>
              </w:rPr>
              <w:t>，总人数不得少于</w:t>
            </w:r>
            <w:r>
              <w:rPr>
                <w:rFonts w:hint="eastAsia" w:ascii="仿宋" w:hAnsi="仿宋" w:eastAsia="仿宋" w:cs="仿宋"/>
                <w:color w:val="auto"/>
                <w:sz w:val="24"/>
                <w:szCs w:val="24"/>
                <w:highlight w:val="none"/>
                <w:lang w:val="en-US" w:eastAsia="zh-CN"/>
              </w:rPr>
              <w:t>6人，否则不得分</w:t>
            </w:r>
            <w:r>
              <w:rPr>
                <w:rFonts w:hint="eastAsia" w:ascii="仿宋" w:hAnsi="仿宋" w:eastAsia="仿宋" w:cs="仿宋"/>
                <w:color w:val="auto"/>
                <w:sz w:val="24"/>
                <w:szCs w:val="24"/>
                <w:highlight w:val="none"/>
              </w:rPr>
              <w:t>：</w:t>
            </w:r>
          </w:p>
          <w:p w14:paraId="26E89FBB">
            <w:pPr>
              <w:pStyle w:val="5"/>
              <w:numPr>
                <w:ilvl w:val="0"/>
                <w:numId w:val="0"/>
              </w:num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1.具备汽车维修工（汽车修理工）高级（三级）或以上资格的，每提供1名得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21B528DD">
            <w:pPr>
              <w:pStyle w:val="5"/>
              <w:numPr>
                <w:ilvl w:val="0"/>
                <w:numId w:val="0"/>
              </w:num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2.具备汽车维修工（汽车修理工）中级（四级）或以上资格的</w:t>
            </w:r>
            <w:r>
              <w:rPr>
                <w:rFonts w:hint="eastAsia" w:ascii="仿宋" w:hAnsi="仿宋" w:eastAsia="仿宋" w:cs="仿宋"/>
                <w:color w:val="auto"/>
                <w:sz w:val="24"/>
                <w:szCs w:val="24"/>
                <w:highlight w:val="none"/>
                <w:lang w:eastAsia="zh-CN"/>
              </w:rPr>
              <w:t>，或焊工中级</w:t>
            </w:r>
            <w:r>
              <w:rPr>
                <w:rFonts w:hint="eastAsia" w:ascii="仿宋" w:hAnsi="仿宋" w:eastAsia="仿宋" w:cs="仿宋"/>
                <w:color w:val="auto"/>
                <w:sz w:val="24"/>
                <w:szCs w:val="24"/>
                <w:highlight w:val="none"/>
              </w:rPr>
              <w:t>（四级）或以上资格</w:t>
            </w:r>
            <w:r>
              <w:rPr>
                <w:rFonts w:hint="eastAsia" w:ascii="仿宋" w:hAnsi="仿宋" w:eastAsia="仿宋" w:cs="仿宋"/>
                <w:color w:val="auto"/>
                <w:sz w:val="24"/>
                <w:szCs w:val="24"/>
                <w:highlight w:val="none"/>
                <w:lang w:eastAsia="zh-CN"/>
              </w:rPr>
              <w:t>，或电工中级</w:t>
            </w:r>
            <w:r>
              <w:rPr>
                <w:rFonts w:hint="eastAsia" w:ascii="仿宋" w:hAnsi="仿宋" w:eastAsia="仿宋" w:cs="仿宋"/>
                <w:color w:val="auto"/>
                <w:sz w:val="24"/>
                <w:szCs w:val="24"/>
                <w:highlight w:val="none"/>
              </w:rPr>
              <w:t>（四级）或以上资格，每提供1名得</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14:paraId="3DC1DF2E">
            <w:pPr>
              <w:pStyle w:val="5"/>
              <w:numPr>
                <w:ilvl w:val="0"/>
                <w:numId w:val="0"/>
              </w:numPr>
              <w:spacing w:line="3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以上证书，同一人可重复分。</w:t>
            </w:r>
          </w:p>
          <w:p w14:paraId="14E7C947">
            <w:pPr>
              <w:spacing w:line="320" w:lineRule="exact"/>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证明材料：</w:t>
            </w:r>
          </w:p>
          <w:p w14:paraId="30A0F45F">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拟派项目团队必须为投标人自有员工，提供相关人员开标日前由投标人为其缴交的载有政府部门公章的2025年11月社保缴交证明材料，如开标日上一个月的社保材料因政府部门原因暂时无法取得，则可以往前顺延一个月；社保资料必须至少显示缴交医疗保险信息，未显示该信息的该社保资料则不符合要求，原件备查。若投标人成立不足三个月的，无需提供社保证明，以投标人营业执照成立时间为准，提供承诺函（格式自拟）说明该员工为自有员工。</w:t>
            </w:r>
          </w:p>
          <w:p w14:paraId="1D87B753">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2.提供相关有效证书扫描件，车辆维修类职业资格证书或职业技能等级证书还需提供该证书在技能人才评价证书全国联网查询（http://zscx.osta.org.cn/）查询截图；焊工</w:t>
            </w:r>
            <w:r>
              <w:rPr>
                <w:rFonts w:hint="eastAsia" w:ascii="仿宋" w:hAnsi="仿宋" w:eastAsia="仿宋" w:cs="仿宋"/>
                <w:color w:val="auto"/>
                <w:sz w:val="24"/>
                <w:szCs w:val="24"/>
                <w:highlight w:val="none"/>
                <w:lang w:eastAsia="zh-CN"/>
              </w:rPr>
              <w:t>或电工</w:t>
            </w:r>
            <w:r>
              <w:rPr>
                <w:rFonts w:hint="eastAsia" w:ascii="仿宋" w:hAnsi="仿宋" w:eastAsia="仿宋" w:cs="仿宋"/>
                <w:b w:val="0"/>
                <w:bCs w:val="0"/>
                <w:color w:val="auto"/>
                <w:kern w:val="2"/>
                <w:sz w:val="24"/>
                <w:szCs w:val="24"/>
                <w:highlight w:val="none"/>
                <w:lang w:val="en-US" w:eastAsia="zh-CN" w:bidi="ar-SA"/>
              </w:rPr>
              <w:t>特种作业操作证还需要提供国家应急管理部的查询截图，否则不得分；</w:t>
            </w:r>
          </w:p>
          <w:p w14:paraId="27366173">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3.未提供或未按要求提供或提供的不清晰导致专家无法判断的，不得分。</w:t>
            </w:r>
          </w:p>
        </w:tc>
      </w:tr>
      <w:tr w14:paraId="77FDBE3C">
        <w:trPr>
          <w:trHeight w:val="90" w:hRule="atLeast"/>
          <w:jc w:val="center"/>
        </w:trPr>
        <w:tc>
          <w:tcPr>
            <w:tcW w:w="720" w:type="dxa"/>
            <w:vMerge w:val="continue"/>
            <w:noWrap w:val="0"/>
            <w:vAlign w:val="center"/>
          </w:tcPr>
          <w:p w14:paraId="4BCD86B9">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bottom w:val="single" w:color="auto" w:sz="4" w:space="0"/>
            </w:tcBorders>
            <w:noWrap w:val="0"/>
            <w:vAlign w:val="center"/>
          </w:tcPr>
          <w:p w14:paraId="28E8C047">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维修服务方案</w:t>
            </w:r>
          </w:p>
        </w:tc>
        <w:tc>
          <w:tcPr>
            <w:tcW w:w="662" w:type="dxa"/>
            <w:noWrap w:val="0"/>
            <w:vAlign w:val="center"/>
          </w:tcPr>
          <w:p w14:paraId="4F40FDA9">
            <w:pPr>
              <w:widowControl/>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46" w:type="dxa"/>
            <w:noWrap w:val="0"/>
            <w:vAlign w:val="center"/>
          </w:tcPr>
          <w:p w14:paraId="1597BEE8">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22C90523">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1.投标人提供车辆维修方案，包括以下内容的，每包括一项得1分，最高得4分：</w:t>
            </w:r>
          </w:p>
          <w:p w14:paraId="138CEEA1">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（1）安全生产管理；</w:t>
            </w:r>
          </w:p>
          <w:p w14:paraId="5121DC17">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（2）服务流程规范；</w:t>
            </w:r>
          </w:p>
          <w:p w14:paraId="1287A663">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（3）质量检验措施；</w:t>
            </w:r>
          </w:p>
          <w:p w14:paraId="5DB8AB9C">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（4）车辆档案管理。</w:t>
            </w:r>
          </w:p>
          <w:p w14:paraId="1C03EC5E">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2.在此基础上，评委针对各投标人提供的维修服务方案进行进阶评审：</w:t>
            </w:r>
          </w:p>
          <w:p w14:paraId="715373B9">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（1）具备完善的安全生产管理制度和业务流程操作规范，具备完善的检修措施，确保维修质量，且能够为采购人车辆建立专门的一车一档的维修档案台账的，评价为优，得3-4分；</w:t>
            </w:r>
          </w:p>
          <w:p w14:paraId="16FCDCA9">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（2）具备比较完善的安全生产管理制度和业务流程操作规范，具备比较完善的检修措施以确保维修质量，且能够为采购人车辆建立专门的一车一档的维修档案台账的，评价为良，得2分；</w:t>
            </w:r>
          </w:p>
          <w:p w14:paraId="25A52B40">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（3）具备安全生产管理制度、业务流程操作规范和检修措施，且能够为采购人车辆建立专门的一车一档的维修档案台账的，评价为中，得1分；</w:t>
            </w:r>
          </w:p>
          <w:p w14:paraId="71143C47">
            <w:pPr>
              <w:pStyle w:val="2"/>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（4）其他情况，评价为差，不得分。</w:t>
            </w:r>
          </w:p>
          <w:p w14:paraId="4676266C">
            <w:pPr>
              <w:pStyle w:val="2"/>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6F6DBEC3">
            <w:pPr>
              <w:spacing w:line="320" w:lineRule="exact"/>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p>
        </w:tc>
      </w:tr>
      <w:tr w14:paraId="6A36A175">
        <w:trPr>
          <w:trHeight w:val="454" w:hRule="atLeast"/>
          <w:jc w:val="center"/>
        </w:trPr>
        <w:tc>
          <w:tcPr>
            <w:tcW w:w="720" w:type="dxa"/>
            <w:vMerge w:val="continue"/>
            <w:noWrap w:val="0"/>
            <w:vAlign w:val="center"/>
          </w:tcPr>
          <w:p w14:paraId="3E54560E">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top w:val="single" w:color="auto" w:sz="4" w:space="0"/>
            </w:tcBorders>
            <w:noWrap w:val="0"/>
            <w:vAlign w:val="center"/>
          </w:tcPr>
          <w:p w14:paraId="2C2A3901">
            <w:pPr>
              <w:widowControl/>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应急处理方案</w:t>
            </w:r>
          </w:p>
        </w:tc>
        <w:tc>
          <w:tcPr>
            <w:tcW w:w="662" w:type="dxa"/>
            <w:noWrap w:val="0"/>
            <w:vAlign w:val="center"/>
          </w:tcPr>
          <w:p w14:paraId="6627E7EF">
            <w:pPr>
              <w:widowControl/>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46" w:type="dxa"/>
            <w:noWrap w:val="0"/>
            <w:vAlign w:val="center"/>
          </w:tcPr>
          <w:p w14:paraId="12558A94">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560BC849">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1.投标人提供非工作时段（含节假日）的应急服务方案，包括以下内容的，每包括一项得2分，最高得4分：</w:t>
            </w:r>
          </w:p>
          <w:p w14:paraId="0D5C5733">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（1）应急演练方案、措施、制度等；</w:t>
            </w:r>
          </w:p>
          <w:p w14:paraId="7E274F5C">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（2）应急服务时段及响应时间；</w:t>
            </w:r>
          </w:p>
          <w:p w14:paraId="783AAAE8">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2.在此基础上，评委针对各投标人提供的应急服务方案进行进阶评审：</w:t>
            </w:r>
          </w:p>
          <w:p w14:paraId="67C18B4B">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（1）投标人承诺正常工作时间（8：00-18：00）内在采购人项目范围内免费提供接送车服务，得2分；</w:t>
            </w:r>
          </w:p>
          <w:p w14:paraId="4AD129B7">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（2）投标人承诺在采购人项目范围的指定场所内提供定人定点上门维修服务，此项服务不收取额外费用，得2分。每个标段限定一个场所。</w:t>
            </w:r>
          </w:p>
          <w:p w14:paraId="74D949AF">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以上最高得8分。</w:t>
            </w:r>
          </w:p>
          <w:p w14:paraId="50A8A733">
            <w:pPr>
              <w:pStyle w:val="2"/>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3697D4DE">
            <w:pPr>
              <w:pStyle w:val="17"/>
              <w:snapToGrid w:val="0"/>
              <w:spacing w:line="3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r>
              <w:rPr>
                <w:rFonts w:hint="eastAsia" w:ascii="仿宋" w:hAnsi="仿宋" w:eastAsia="仿宋" w:cs="仿宋"/>
                <w:color w:val="auto"/>
                <w:sz w:val="24"/>
                <w:szCs w:val="24"/>
                <w:highlight w:val="none"/>
                <w:lang w:eastAsia="zh-CN"/>
              </w:rPr>
              <w:t>。</w:t>
            </w:r>
          </w:p>
        </w:tc>
      </w:tr>
      <w:tr w14:paraId="5A3C9E4E">
        <w:trPr>
          <w:trHeight w:val="454" w:hRule="atLeast"/>
          <w:jc w:val="center"/>
        </w:trPr>
        <w:tc>
          <w:tcPr>
            <w:tcW w:w="720" w:type="dxa"/>
            <w:vMerge w:val="continue"/>
            <w:noWrap w:val="0"/>
            <w:vAlign w:val="center"/>
          </w:tcPr>
          <w:p w14:paraId="78FE685A">
            <w:pPr>
              <w:spacing w:line="320" w:lineRule="exact"/>
              <w:jc w:val="center"/>
              <w:rPr>
                <w:rFonts w:hint="eastAsia" w:ascii="仿宋" w:hAnsi="仿宋" w:eastAsia="仿宋" w:cs="仿宋"/>
                <w:color w:val="auto"/>
                <w:sz w:val="24"/>
                <w:szCs w:val="24"/>
                <w:highlight w:val="none"/>
              </w:rPr>
            </w:pPr>
          </w:p>
        </w:tc>
        <w:tc>
          <w:tcPr>
            <w:tcW w:w="1188" w:type="dxa"/>
            <w:tcBorders>
              <w:left w:val="single" w:color="auto" w:sz="4" w:space="0"/>
            </w:tcBorders>
            <w:noWrap w:val="0"/>
            <w:vAlign w:val="center"/>
          </w:tcPr>
          <w:p w14:paraId="2A0C0C45">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维修服务质量承诺</w:t>
            </w:r>
          </w:p>
        </w:tc>
        <w:tc>
          <w:tcPr>
            <w:tcW w:w="662" w:type="dxa"/>
            <w:noWrap w:val="0"/>
            <w:vAlign w:val="center"/>
          </w:tcPr>
          <w:p w14:paraId="4162226C">
            <w:pPr>
              <w:widowControl/>
              <w:adjustRightInd w:val="0"/>
              <w:snapToGrid w:val="0"/>
              <w:spacing w:line="320" w:lineRule="exact"/>
              <w:jc w:val="center"/>
              <w:rPr>
                <w:rFonts w:hint="eastAsia" w:ascii="仿宋" w:hAnsi="仿宋" w:eastAsia="仿宋" w:cs="仿宋"/>
                <w:caps/>
                <w:color w:val="auto"/>
                <w:kern w:val="0"/>
                <w:sz w:val="24"/>
                <w:szCs w:val="24"/>
                <w:highlight w:val="none"/>
              </w:rPr>
            </w:pPr>
            <w:r>
              <w:rPr>
                <w:rFonts w:hint="eastAsia" w:ascii="仿宋" w:hAnsi="仿宋" w:eastAsia="仿宋" w:cs="仿宋"/>
                <w:color w:val="auto"/>
                <w:sz w:val="24"/>
                <w:szCs w:val="24"/>
                <w:highlight w:val="none"/>
                <w:lang w:val="en-US" w:eastAsia="zh-CN"/>
              </w:rPr>
              <w:t>4</w:t>
            </w:r>
          </w:p>
        </w:tc>
        <w:tc>
          <w:tcPr>
            <w:tcW w:w="7046" w:type="dxa"/>
            <w:noWrap w:val="0"/>
            <w:vAlign w:val="center"/>
          </w:tcPr>
          <w:p w14:paraId="52C7D811">
            <w:pPr>
              <w:spacing w:line="320" w:lineRule="exact"/>
              <w:ind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考察内容</w:t>
            </w:r>
            <w:r>
              <w:rPr>
                <w:rFonts w:hint="eastAsia" w:ascii="仿宋" w:hAnsi="仿宋" w:eastAsia="仿宋" w:cs="仿宋"/>
                <w:b w:val="0"/>
                <w:bCs w:val="0"/>
                <w:color w:val="auto"/>
                <w:kern w:val="2"/>
                <w:sz w:val="24"/>
                <w:szCs w:val="24"/>
                <w:highlight w:val="none"/>
                <w:lang w:val="en-US" w:eastAsia="zh-CN" w:bidi="ar-SA"/>
              </w:rPr>
              <w:t>：</w:t>
            </w:r>
          </w:p>
          <w:p w14:paraId="19581737">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投标人提供以下维修服务质量承诺，得4分：</w:t>
            </w:r>
          </w:p>
          <w:p w14:paraId="08A5B600">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“①车辆维修项目半年内再次出现相同配件引起的同类问题返修，采购人不再支付维修费用；</w:t>
            </w:r>
          </w:p>
          <w:p w14:paraId="46C9233B">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②保证所有车辆配件是原厂正品；</w:t>
            </w:r>
          </w:p>
          <w:p w14:paraId="60D3CB71">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③在同种情况下，保证提供优先维修服务。”</w:t>
            </w:r>
          </w:p>
          <w:p w14:paraId="6EB20A83">
            <w:pPr>
              <w:pStyle w:val="2"/>
              <w:spacing w:line="320" w:lineRule="exact"/>
              <w:ind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证明材料：</w:t>
            </w:r>
          </w:p>
          <w:p w14:paraId="33A9468C">
            <w:pPr>
              <w:pStyle w:val="17"/>
              <w:snapToGrid w:val="0"/>
              <w:spacing w:line="320" w:lineRule="exact"/>
              <w:ind w:firstLine="480" w:firstLineChars="200"/>
              <w:rPr>
                <w:rFonts w:hint="eastAsia" w:ascii="仿宋" w:hAnsi="仿宋" w:eastAsia="仿宋" w:cs="仿宋"/>
                <w:caps/>
                <w:color w:val="auto"/>
                <w:kern w:val="0"/>
                <w:sz w:val="24"/>
                <w:szCs w:val="24"/>
                <w:highlight w:val="none"/>
                <w:lang w:val="en-US"/>
              </w:rPr>
            </w:pPr>
            <w:r>
              <w:rPr>
                <w:rFonts w:hint="eastAsia" w:ascii="仿宋" w:hAnsi="仿宋" w:eastAsia="仿宋" w:cs="仿宋"/>
                <w:b w:val="0"/>
                <w:bCs w:val="0"/>
                <w:color w:val="auto"/>
                <w:kern w:val="2"/>
                <w:sz w:val="24"/>
                <w:szCs w:val="24"/>
                <w:highlight w:val="none"/>
                <w:lang w:val="en-US" w:eastAsia="zh-CN" w:bidi="ar-SA"/>
              </w:rPr>
              <w:t>提供包含上述内容的承诺函（加盖公章）复印件，未按要求提供或承诺内容不符合要求的，不得分。</w:t>
            </w:r>
          </w:p>
        </w:tc>
      </w:tr>
    </w:tbl>
    <w:p w14:paraId="1FB20215">
      <w:pPr>
        <w:rPr>
          <w:color w:val="auto"/>
        </w:rPr>
      </w:pPr>
    </w:p>
    <w:p w14:paraId="6A439822">
      <w:pPr>
        <w:pStyle w:val="2"/>
        <w:rPr>
          <w:color w:val="auto"/>
        </w:rPr>
      </w:pP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p w14:paraId="45D59C2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4.环卫作业车辆生产厂家授权</w:t>
      </w:r>
    </w:p>
    <w:p w14:paraId="39BD90F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5.维修设备情况</w:t>
      </w:r>
    </w:p>
    <w:p w14:paraId="4A92764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6.拟投入本项目的场地情况</w:t>
      </w:r>
    </w:p>
    <w:p w14:paraId="24381D6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7.拟安排的团队成员维修技术人员情况</w:t>
      </w:r>
    </w:p>
    <w:p w14:paraId="7342A9E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8.维修服务方案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9.应急处理方案</w:t>
      </w:r>
    </w:p>
    <w:p w14:paraId="2ACEDC5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10.维修服务质量承诺</w:t>
      </w:r>
    </w:p>
    <w:p w14:paraId="42804DD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11.投标报价一览表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4"/>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rPr>
          <w:trHeight w:val="1020" w:hRule="atLeast"/>
          <w:jc w:val="center"/>
        </w:trPr>
        <w:tc>
          <w:tcPr>
            <w:tcW w:w="2665" w:type="dxa"/>
            <w:noWrap w:val="0"/>
            <w:vAlign w:val="center"/>
          </w:tcPr>
          <w:p w14:paraId="44619C8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rPr>
          <w:trHeight w:val="1020" w:hRule="atLeast"/>
          <w:jc w:val="center"/>
        </w:trPr>
        <w:tc>
          <w:tcPr>
            <w:tcW w:w="2665" w:type="dxa"/>
            <w:noWrap w:val="0"/>
            <w:vAlign w:val="center"/>
          </w:tcPr>
          <w:p w14:paraId="1BD4AC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rPr>
          <w:trHeight w:val="1020" w:hRule="atLeast"/>
          <w:jc w:val="center"/>
        </w:trPr>
        <w:tc>
          <w:tcPr>
            <w:tcW w:w="2665" w:type="dxa"/>
            <w:noWrap w:val="0"/>
            <w:vAlign w:val="center"/>
          </w:tcPr>
          <w:p w14:paraId="015A84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rPr>
          <w:trHeight w:val="1020" w:hRule="atLeast"/>
          <w:jc w:val="center"/>
        </w:trPr>
        <w:tc>
          <w:tcPr>
            <w:tcW w:w="2665" w:type="dxa"/>
            <w:noWrap w:val="0"/>
            <w:vAlign w:val="center"/>
          </w:tcPr>
          <w:p w14:paraId="0C48AF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rPr>
          <w:trHeight w:val="1020" w:hRule="atLeast"/>
          <w:jc w:val="center"/>
        </w:trPr>
        <w:tc>
          <w:tcPr>
            <w:tcW w:w="2665" w:type="dxa"/>
            <w:noWrap w:val="0"/>
            <w:vAlign w:val="center"/>
          </w:tcPr>
          <w:p w14:paraId="0DAE235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rPr>
          <w:trHeight w:val="2375" w:hRule="atLeast"/>
          <w:jc w:val="center"/>
        </w:trPr>
        <w:tc>
          <w:tcPr>
            <w:tcW w:w="2665" w:type="dxa"/>
            <w:noWrap w:val="0"/>
            <w:vAlign w:val="center"/>
          </w:tcPr>
          <w:p w14:paraId="593F06F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rPr>
          <w:trHeight w:val="1020" w:hRule="atLeast"/>
          <w:jc w:val="center"/>
        </w:trPr>
        <w:tc>
          <w:tcPr>
            <w:tcW w:w="2665" w:type="dxa"/>
            <w:noWrap w:val="0"/>
            <w:vAlign w:val="center"/>
          </w:tcPr>
          <w:p w14:paraId="1B203B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rPr>
          <w:trHeight w:val="1020" w:hRule="atLeast"/>
          <w:jc w:val="center"/>
        </w:trPr>
        <w:tc>
          <w:tcPr>
            <w:tcW w:w="2665" w:type="dxa"/>
            <w:noWrap w:val="0"/>
            <w:vAlign w:val="center"/>
          </w:tcPr>
          <w:p w14:paraId="50F10BC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rPr>
          <w:trHeight w:val="1020" w:hRule="atLeast"/>
          <w:jc w:val="center"/>
        </w:trPr>
        <w:tc>
          <w:tcPr>
            <w:tcW w:w="2665" w:type="dxa"/>
            <w:noWrap w:val="0"/>
            <w:vAlign w:val="center"/>
          </w:tcPr>
          <w:p w14:paraId="4AFCE28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资质证书等</w:t>
      </w:r>
      <w:r>
        <w:rPr>
          <w:rFonts w:hint="eastAsia" w:ascii="仿宋" w:hAnsi="仿宋" w:eastAsia="仿宋" w:cs="仿宋"/>
          <w:b/>
          <w:bCs/>
          <w:sz w:val="24"/>
          <w:szCs w:val="24"/>
          <w:highlight w:val="none"/>
        </w:rPr>
        <w:t>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w:t>
      </w:r>
      <w:r>
        <w:rPr>
          <w:rFonts w:hint="eastAsia" w:ascii="仿宋" w:hAnsi="仿宋" w:eastAsia="仿宋" w:cs="仿宋"/>
          <w:b/>
          <w:bCs/>
          <w:sz w:val="24"/>
          <w:szCs w:val="24"/>
          <w:highlight w:val="none"/>
          <w:lang w:val="en-US" w:eastAsia="zh-CN"/>
        </w:rPr>
        <w:t>加盖公章</w:t>
      </w:r>
      <w:r>
        <w:rPr>
          <w:rFonts w:hint="eastAsia" w:ascii="仿宋" w:hAnsi="仿宋" w:eastAsia="仿宋" w:cs="仿宋"/>
          <w:b/>
          <w:bCs/>
          <w:sz w:val="24"/>
          <w:szCs w:val="24"/>
          <w:highlight w:val="none"/>
        </w:rPr>
        <w:t>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龙华街道城市管家项目定点维修服务采购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我方接受《龙华街道城市管家项目定点维修服务采购公开遴选公告》中确定的计价方式，根据企业自身情况，理性报价，不会以低于成本的报价竞争。 </w:t>
      </w:r>
    </w:p>
    <w:p w14:paraId="6CDEA74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91A217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027CC89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13"/>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c>
          <w:tcPr>
            <w:tcW w:w="1097" w:type="dxa"/>
            <w:noWrap w:val="0"/>
            <w:vAlign w:val="center"/>
          </w:tcPr>
          <w:p w14:paraId="336AF76C">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c>
          <w:tcPr>
            <w:tcW w:w="1097" w:type="dxa"/>
            <w:noWrap w:val="0"/>
            <w:vAlign w:val="center"/>
          </w:tcPr>
          <w:p w14:paraId="29FFBCC7">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c>
          <w:tcPr>
            <w:tcW w:w="1097" w:type="dxa"/>
            <w:noWrap w:val="0"/>
            <w:vAlign w:val="center"/>
          </w:tcPr>
          <w:p w14:paraId="2A715A92">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c>
          <w:tcPr>
            <w:tcW w:w="1097" w:type="dxa"/>
            <w:noWrap w:val="0"/>
            <w:vAlign w:val="center"/>
          </w:tcPr>
          <w:p w14:paraId="16C4AAB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c>
          <w:tcPr>
            <w:tcW w:w="1097" w:type="dxa"/>
            <w:noWrap w:val="0"/>
            <w:vAlign w:val="center"/>
          </w:tcPr>
          <w:p w14:paraId="2A89E213">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26"/>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根据上述业绩情况，按招标文件要求附销售或服务合同复印件及评审标准要求的证明材料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项目中标通知书或合同关键页（应包含但不限于合同甲乙双方名称、服务项目名称、涉及业绩的服务内容、服务期限、签订合同时间、甲乙双方公章等关键信息）扫描件及合同履行期间至少一个月的流水佐证材料（如发票扫描件），原件备查。</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1E1D4BE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4.环卫作业车辆生产厂家授权</w:t>
      </w:r>
    </w:p>
    <w:p w14:paraId="7E7437B3">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6A3E50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楷体_GB2312" w:hAnsi="楷体_GB2312" w:eastAsia="楷体_GB2312" w:cs="楷体_GB2312"/>
          <w:b/>
          <w:bCs/>
          <w:kern w:val="2"/>
          <w:sz w:val="32"/>
          <w:szCs w:val="32"/>
          <w:highlight w:val="none"/>
          <w:lang w:val="en-US" w:eastAsia="zh-CN" w:bidi="ar-SA"/>
        </w:rPr>
      </w:pPr>
    </w:p>
    <w:p w14:paraId="0EF7DA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5.维修设备情况</w:t>
      </w:r>
    </w:p>
    <w:p w14:paraId="764DCA55">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E28F2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4749A8A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6.拟投入本项目的场地情况</w:t>
      </w:r>
    </w:p>
    <w:p w14:paraId="720CC5A6">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5C6FC54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6575E4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7.拟安排的团队成员维修技术人员情况</w:t>
      </w:r>
    </w:p>
    <w:p w14:paraId="3DFBFD99">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E1932EC">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left"/>
        <w:textAlignment w:val="auto"/>
        <w:rPr>
          <w:rFonts w:hint="eastAsia" w:ascii="楷体_GB2312" w:hAnsi="楷体_GB2312" w:eastAsia="楷体_GB2312" w:cs="楷体_GB2312"/>
          <w:b/>
          <w:bCs/>
          <w:kern w:val="2"/>
          <w:sz w:val="32"/>
          <w:szCs w:val="32"/>
          <w:highlight w:val="none"/>
          <w:lang w:val="en-US" w:eastAsia="zh-CN" w:bidi="ar-SA"/>
        </w:rPr>
      </w:pPr>
    </w:p>
    <w:p w14:paraId="3657553B">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8.维修服务方案</w:t>
      </w:r>
    </w:p>
    <w:p w14:paraId="14DC7F29">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5508735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6E1397E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9.应急处理方案</w:t>
      </w:r>
    </w:p>
    <w:p w14:paraId="77D74EC4">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2ABB7A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3371EA2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10.维修服务质量承诺</w:t>
      </w:r>
    </w:p>
    <w:p w14:paraId="0FBCAC90">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374E44F">
      <w:pPr>
        <w:pStyle w:val="10"/>
        <w:rPr>
          <w:rFonts w:hint="eastAsia" w:ascii="楷体_GB2312" w:hAnsi="楷体_GB2312" w:eastAsia="楷体_GB2312" w:cs="楷体_GB2312"/>
          <w:sz w:val="32"/>
          <w:szCs w:val="32"/>
          <w:highlight w:val="none"/>
          <w:lang w:val="en-US" w:eastAsia="zh-CN"/>
        </w:rPr>
      </w:pPr>
    </w:p>
    <w:p w14:paraId="40B4935A">
      <w:pPr>
        <w:pStyle w:val="12"/>
        <w:rPr>
          <w:rFonts w:hint="eastAsia"/>
          <w:highlight w:val="none"/>
          <w:lang w:val="en-US" w:eastAsia="zh-CN"/>
        </w:rPr>
      </w:pPr>
    </w:p>
    <w:p w14:paraId="1AE597BE">
      <w:pPr>
        <w:pStyle w:val="12"/>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11.投标报价一览表</w:t>
      </w:r>
    </w:p>
    <w:p w14:paraId="69410088">
      <w:pPr>
        <w:pStyle w:val="7"/>
        <w:keepNext w:val="0"/>
        <w:keepLines w:val="0"/>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p>
    <w:p w14:paraId="1E604C4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龙华街道城市管家项目定点维修服务采购</w:t>
      </w:r>
      <w:r>
        <w:rPr>
          <w:rFonts w:hint="eastAsia" w:ascii="仿宋_GB2312" w:hAnsi="仿宋_GB2312" w:eastAsia="仿宋_GB2312" w:cs="仿宋_GB2312"/>
          <w:sz w:val="32"/>
          <w:szCs w:val="32"/>
          <w:highlight w:val="none"/>
        </w:rPr>
        <w:t>的报价见下表所列：</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1DB607E2">
        <w:trPr>
          <w:trHeight w:val="716" w:hRule="atLeast"/>
        </w:trPr>
        <w:tc>
          <w:tcPr>
            <w:tcW w:w="3108" w:type="dxa"/>
            <w:vAlign w:val="center"/>
          </w:tcPr>
          <w:p w14:paraId="07DF7F22">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6535556">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69E12A1C">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37F5CEAD">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投标折扣率</w:t>
            </w:r>
          </w:p>
        </w:tc>
        <w:tc>
          <w:tcPr>
            <w:tcW w:w="2717" w:type="dxa"/>
            <w:vAlign w:val="center"/>
          </w:tcPr>
          <w:p w14:paraId="2467E46B">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备注</w:t>
            </w:r>
          </w:p>
        </w:tc>
      </w:tr>
      <w:tr w14:paraId="1544C874">
        <w:trPr>
          <w:trHeight w:val="626" w:hRule="atLeast"/>
        </w:trPr>
        <w:tc>
          <w:tcPr>
            <w:tcW w:w="3108" w:type="dxa"/>
            <w:vAlign w:val="center"/>
          </w:tcPr>
          <w:p w14:paraId="4C48E437">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龙华街道城市管家项目定点维修服务采购</w:t>
            </w:r>
          </w:p>
        </w:tc>
        <w:tc>
          <w:tcPr>
            <w:tcW w:w="1897" w:type="dxa"/>
            <w:vAlign w:val="center"/>
          </w:tcPr>
          <w:p w14:paraId="179A3848">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98</w:t>
            </w:r>
          </w:p>
        </w:tc>
        <w:tc>
          <w:tcPr>
            <w:tcW w:w="1916" w:type="dxa"/>
            <w:vAlign w:val="center"/>
          </w:tcPr>
          <w:p w14:paraId="2A0F5CBC">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Align w:val="center"/>
          </w:tcPr>
          <w:p w14:paraId="326391EA">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1.据实结算，结算价不超过合同价。</w:t>
            </w:r>
          </w:p>
          <w:p w14:paraId="5E65931C">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bl>
    <w:p w14:paraId="3956D66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151A1607">
      <w:pPr>
        <w:pStyle w:val="8"/>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lang w:val="en-US" w:eastAsia="zh-CN"/>
        </w:rPr>
      </w:pPr>
      <w:r>
        <w:rPr>
          <w:rFonts w:hint="eastAsia" w:ascii="仿宋" w:hAnsi="仿宋" w:eastAsia="仿宋" w:cs="仿宋"/>
          <w:b/>
          <w:bCs/>
          <w:sz w:val="24"/>
          <w:szCs w:val="24"/>
          <w:highlight w:val="none"/>
          <w:lang w:val="en-US" w:eastAsia="zh-CN"/>
        </w:rPr>
        <w:t>（1）遴选控制价为98万元。总价超出遴选控制价将导致投标无效。</w:t>
      </w:r>
    </w:p>
    <w:p w14:paraId="7108766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57EA7AA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（3）本项目采用据实结算方式，实际发生维修服务内容的结算单价以折扣后单价为准，结算价不高于合同价。</w:t>
      </w:r>
    </w:p>
    <w:p w14:paraId="6DDCF4B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（4）以上报价包括包括人工费、运输费、管理费、税金及其他乙方为履行本合同义务所发生的一切费用。</w:t>
      </w:r>
    </w:p>
    <w:p w14:paraId="474E5DD8">
      <w:pPr>
        <w:rPr>
          <w:rFonts w:hint="eastAsia"/>
          <w:lang w:val="en-US" w:eastAsia="zh-CN"/>
        </w:rPr>
      </w:pPr>
    </w:p>
    <w:p w14:paraId="166ACE6D">
      <w:pPr>
        <w:rPr>
          <w:rFonts w:hint="eastAsia"/>
          <w:lang w:val="en-US" w:eastAsia="zh-CN"/>
        </w:rPr>
      </w:pPr>
    </w:p>
    <w:p w14:paraId="2E17AF8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7D3B9868">
      <w:pPr>
        <w:pStyle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w:t>
      </w:r>
    </w:p>
    <w:p w14:paraId="2B29E560">
      <w:pPr>
        <w:pStyle w:val="2"/>
        <w:ind w:firstLine="4096" w:firstLineChars="17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日期：</w:t>
      </w:r>
    </w:p>
    <w:p w14:paraId="2380B856">
      <w:pPr>
        <w:pStyle w:val="10"/>
        <w:rPr>
          <w:rFonts w:hint="eastAsia" w:ascii="仿宋" w:hAnsi="仿宋" w:eastAsia="仿宋" w:cs="仿宋"/>
          <w:b/>
          <w:bCs/>
          <w:sz w:val="24"/>
          <w:szCs w:val="24"/>
          <w:highlight w:val="none"/>
          <w:lang w:val="en-US" w:eastAsia="zh-CN"/>
        </w:rPr>
      </w:pPr>
    </w:p>
    <w:p w14:paraId="7484580B">
      <w:pPr>
        <w:pStyle w:val="10"/>
        <w:rPr>
          <w:rFonts w:hint="eastAsia" w:ascii="仿宋" w:hAnsi="仿宋" w:eastAsia="仿宋" w:cs="仿宋"/>
          <w:b/>
          <w:bCs/>
          <w:sz w:val="24"/>
          <w:szCs w:val="24"/>
          <w:highlight w:val="none"/>
          <w:lang w:val="en-US" w:eastAsia="zh-CN"/>
        </w:rPr>
      </w:pPr>
    </w:p>
    <w:p w14:paraId="51BACF0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最高限价</w:t>
      </w:r>
    </w:p>
    <w:p w14:paraId="43BF0E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1、东风系列底盘配件最高限价</w:t>
      </w:r>
    </w:p>
    <w:tbl>
      <w:tblPr>
        <w:tblStyle w:val="13"/>
        <w:tblW w:w="87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775"/>
        <w:gridCol w:w="2889"/>
      </w:tblGrid>
      <w:tr w14:paraId="6C209120">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8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序号</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70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商品名称</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A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最高限价（元/项）</w:t>
            </w:r>
          </w:p>
        </w:tc>
      </w:tr>
      <w:tr w14:paraId="6EE97BD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D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8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原装机油</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47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37BA011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3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2E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原装重负荷齿轮油</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5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323</w:t>
            </w:r>
          </w:p>
        </w:tc>
      </w:tr>
      <w:tr w14:paraId="774B60A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CC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6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8PK2075 皮带</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9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5A02137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5B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4D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变速操纵杆及支座总成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7C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4281C00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F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9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变速箱垫</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E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43B70AA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1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CD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操纵手柄总成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97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223.25</w:t>
            </w:r>
          </w:p>
        </w:tc>
      </w:tr>
      <w:tr w14:paraId="020DAE5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0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12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刹车同位弹簧后</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D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417B3C7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F8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56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传动轴十字轴</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8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481B01F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E3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B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单 H 双杆左操纵总成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44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7E09D37A">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D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5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弹簧减振器总成-前悬置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E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351.5</w:t>
            </w:r>
          </w:p>
        </w:tc>
      </w:tr>
      <w:tr w14:paraId="455092A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8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E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氮氧化物传感器-出口</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3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2470</w:t>
            </w:r>
          </w:p>
        </w:tc>
      </w:tr>
      <w:tr w14:paraId="32A272BA">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EC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C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动力转向器总成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1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1995</w:t>
            </w:r>
          </w:p>
        </w:tc>
      </w:tr>
      <w:tr w14:paraId="17DEBB2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B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6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动力转向油罐总成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6B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w:t>
            </w:r>
          </w:p>
        </w:tc>
      </w:tr>
      <w:tr w14:paraId="426B05A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B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02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堵盖-翘板开关</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64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1DB8728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2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6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惰轮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9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w:t>
            </w:r>
          </w:p>
        </w:tc>
      </w:tr>
      <w:tr w14:paraId="5861A37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34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0A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发电机总成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A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1520</w:t>
            </w:r>
          </w:p>
        </w:tc>
      </w:tr>
      <w:tr w14:paraId="2C2509D1">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B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5E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方向机</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77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1520</w:t>
            </w:r>
          </w:p>
        </w:tc>
      </w:tr>
      <w:tr w14:paraId="4DDFF6B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FF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DB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方向机总成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1C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79F882E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B3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4B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分离轴承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01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6730495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9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A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风扇离合器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63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2707.5</w:t>
            </w:r>
          </w:p>
        </w:tc>
      </w:tr>
      <w:tr w14:paraId="5459C6C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7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8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钢板胶套</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C5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5229139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E4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69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钢板总成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9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950</w:t>
            </w:r>
          </w:p>
        </w:tc>
      </w:tr>
      <w:tr w14:paraId="584A814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1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F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滚动轴承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95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7440A71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6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75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后轮毂油封总成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BC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40E5C0D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9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E1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后桥右气室</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3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32B7BEF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A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6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后制动鼓</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E4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7AF5871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D6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6F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进去软管总成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0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521FDE3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87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A9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空滤器滤芯套装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D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351.5</w:t>
            </w:r>
          </w:p>
        </w:tc>
      </w:tr>
      <w:tr w14:paraId="2A9657E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B0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4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离合器分离拨叉</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BC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361</w:t>
            </w:r>
          </w:p>
        </w:tc>
      </w:tr>
      <w:tr w14:paraId="7906436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0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F5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离合器分离叉轴带分离叉臂总成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89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3D56A41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4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D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离合器分离轴承座及轴承总成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0A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304</w:t>
            </w:r>
          </w:p>
        </w:tc>
      </w:tr>
      <w:tr w14:paraId="462AA71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9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B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里程表传感器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D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304</w:t>
            </w:r>
          </w:p>
        </w:tc>
      </w:tr>
      <w:tr w14:paraId="248C736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17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C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排气编织管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71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1330</w:t>
            </w:r>
          </w:p>
        </w:tc>
      </w:tr>
      <w:tr w14:paraId="5EBF3EF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6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4F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膨胀阀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A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w:t>
            </w:r>
          </w:p>
        </w:tc>
      </w:tr>
      <w:tr w14:paraId="46D3EE8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2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9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F1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5403178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72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1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皮带涨紧轮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C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261.25</w:t>
            </w:r>
          </w:p>
        </w:tc>
      </w:tr>
      <w:tr w14:paraId="4177DC3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E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6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起动机</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5C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2090</w:t>
            </w:r>
          </w:p>
        </w:tc>
      </w:tr>
      <w:tr w14:paraId="4909C0F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1D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4E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气动撑杆总成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81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58054B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F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C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气缸修理包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B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39E1EAF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77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92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气压传感器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D0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28E182D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6A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E5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燃油滤清器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49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18CE253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0B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3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燃油细滤器总成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4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266</w:t>
            </w:r>
          </w:p>
        </w:tc>
      </w:tr>
      <w:tr w14:paraId="122AC74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61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8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散热器总成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3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1520</w:t>
            </w:r>
          </w:p>
        </w:tc>
      </w:tr>
      <w:tr w14:paraId="2B8A9D7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8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C1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手控制动阀总成-主车</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2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2A1A773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A1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9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输油软管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B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FEA098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49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6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水泵总成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4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498.75</w:t>
            </w:r>
          </w:p>
        </w:tc>
      </w:tr>
      <w:tr w14:paraId="2FD5EF2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A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C4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四回路保护阀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E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0EB5801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B0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86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随动器/双 H 气控装换阀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3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418</w:t>
            </w:r>
          </w:p>
        </w:tc>
      </w:tr>
      <w:tr w14:paraId="05E478E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F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72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调温器工艺合件</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0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589</w:t>
            </w:r>
          </w:p>
        </w:tc>
      </w:tr>
      <w:tr w14:paraId="5E2C34D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29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3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洗涤器总成工艺合件</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7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99.75</w:t>
            </w:r>
          </w:p>
        </w:tc>
      </w:tr>
      <w:tr w14:paraId="64226F8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3B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0E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液压离合器用制动液 0.8kg</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D0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A00DB0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7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E2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液压助力泵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0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950</w:t>
            </w:r>
          </w:p>
        </w:tc>
      </w:tr>
      <w:tr w14:paraId="4F67684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FD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0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油底壳垫</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33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287F856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1A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E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制动刹车片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4A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0DFEC06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8E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DF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中间支撑总成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8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399</w:t>
            </w:r>
          </w:p>
        </w:tc>
      </w:tr>
      <w:tr w14:paraId="575859A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5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A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中冷器总成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2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1520</w:t>
            </w:r>
          </w:p>
        </w:tc>
      </w:tr>
      <w:tr w14:paraId="3BE7F38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4D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1B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转向节修理包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E1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242.25</w:t>
            </w:r>
          </w:p>
        </w:tc>
      </w:tr>
      <w:tr w14:paraId="60262E4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0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8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前轮毂油封总成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B4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376F9F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C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90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油封-半轴</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2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48CDD3E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0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5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油封-后轮内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5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57C3E5A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3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1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油封-后轮外</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F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5556637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07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7D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刹车油 T0D3</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F0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BB7DC0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6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9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发动机回油管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5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232.75</w:t>
            </w:r>
          </w:p>
        </w:tc>
      </w:tr>
      <w:tr w14:paraId="2311F1A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2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8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发动机油道清洗剂</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B0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50CD3A5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1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E3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硅油风扇离合器带风扇总成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7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0F5A338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76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48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滚筒油缸</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8A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2238F92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7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FE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化油器清洗剂 450ML</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8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7161D94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6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E5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黄油</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7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48984441">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7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14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回油钢管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C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3824892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2D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9C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离合器油管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4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39A68B9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3D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0E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离合器油管铁帽 M14*帽 M</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E1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27F0F02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FD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B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油水分离器滤芯总成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7F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6D3B556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A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F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油箱通气阀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F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48090E3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AB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2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油箱总成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7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1995</w:t>
            </w:r>
          </w:p>
        </w:tc>
      </w:tr>
      <w:tr w14:paraId="06760B5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B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9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增压器机油管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A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1710</w:t>
            </w:r>
          </w:p>
        </w:tc>
      </w:tr>
      <w:tr w14:paraId="4A9F766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1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40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转向机油壶</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67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589691B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DC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C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转向油罐总成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AB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304</w:t>
            </w:r>
          </w:p>
        </w:tc>
      </w:tr>
      <w:tr w14:paraId="3A15E9F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4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54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方向机滤芯</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90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D376DD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3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95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410*280*280*230 后刹车鼓</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E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20DA83B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0C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3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刹车底板铜套</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93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69EF7D5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F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6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刹车定位销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8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0A1A451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A5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41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气刹车蹄总成H180配8孔</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D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2F5D4CF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0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后右制动室 16*120MM</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A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327.75</w:t>
            </w:r>
          </w:p>
        </w:tc>
      </w:tr>
      <w:tr w14:paraId="5D9827A1">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0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0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后制动毂</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8A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950</w:t>
            </w:r>
          </w:p>
        </w:tc>
      </w:tr>
      <w:tr w14:paraId="04B1844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26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1C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后制动摩擦片A片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6F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5B40CF3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9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E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后制动摩擦片B片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91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70B3DA4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0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60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后左制动室 16*120mm</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6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242.25</w:t>
            </w:r>
          </w:p>
        </w:tc>
      </w:tr>
      <w:tr w14:paraId="27E4091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9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0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前制动摩擦片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B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36370B8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3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0F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真空助力器带制动主缸总成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5E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1995</w:t>
            </w:r>
          </w:p>
        </w:tc>
      </w:tr>
      <w:tr w14:paraId="6BB8C1D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2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BC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制动分泵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B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156.75</w:t>
            </w:r>
          </w:p>
        </w:tc>
      </w:tr>
      <w:tr w14:paraId="4B4559F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9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D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制动器开关总成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43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6A1076F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A1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BB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氮氧传感器-进口</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93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2470</w:t>
            </w:r>
          </w:p>
        </w:tc>
      </w:tr>
      <w:tr w14:paraId="53FF928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C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60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后桥减速器总成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5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7125</w:t>
            </w:r>
          </w:p>
        </w:tc>
      </w:tr>
      <w:tr w14:paraId="378EEEAA">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27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CB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后桥壳</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65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1710</w:t>
            </w:r>
          </w:p>
        </w:tc>
      </w:tr>
      <w:tr w14:paraId="4ECD0EF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9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4D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副箱主轴减速齿轮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1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26ED56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6A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3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减振器-前悬置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7D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548CBBD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A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2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减震器总成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DC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54D3A12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F5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6D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扭振减震器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0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1852.5</w:t>
            </w:r>
          </w:p>
        </w:tc>
      </w:tr>
      <w:tr w14:paraId="7E8B815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0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6B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康明斯呼吸器盖</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74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213DD41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7A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6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分离轴承卡扣</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5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077DD36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E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2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冷却管管夹</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83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3F843B4A">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72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50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 xml:space="preserve"> EGR 冷却管进水管O型圈</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24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388084C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A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B5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冷却管进水管垫片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D4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3769062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BF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DD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冷却进水管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81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5921C26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A4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27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冷却器管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7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54AFA5E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AD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42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冷却器进水管接头</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A4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290A8B3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6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96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Style w:val="27"/>
                <w:bCs/>
                <w:snapToGrid w:val="0"/>
                <w:lang w:val="en-US" w:eastAsia="zh-CN" w:bidi="ar"/>
              </w:rPr>
              <w:t xml:space="preserve"> EGR 阀气管</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F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223.25</w:t>
            </w:r>
          </w:p>
        </w:tc>
      </w:tr>
      <w:tr w14:paraId="6A233B8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58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8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冷却液4kg</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32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71.25</w:t>
            </w:r>
          </w:p>
        </w:tc>
      </w:tr>
      <w:tr w14:paraId="32E835D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9E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61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风扇皮带</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6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5D014F8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D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F0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 B2050</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8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3B68B95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9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8B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皮带调整轮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22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6C33C09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0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2C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皮带压紧轮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A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337.25</w:t>
            </w:r>
          </w:p>
        </w:tc>
      </w:tr>
      <w:tr w14:paraId="7AE8ECE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F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1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水泵皮带</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F5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1C4B0AF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8F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0E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飞轮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6F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1596</w:t>
            </w:r>
          </w:p>
        </w:tc>
      </w:tr>
      <w:tr w14:paraId="5EFF83D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E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2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滚动轴承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AB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9AD635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9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91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离合器盖及压盘总成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3E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1710</w:t>
            </w:r>
          </w:p>
        </w:tc>
      </w:tr>
      <w:tr w14:paraId="252781A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4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76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离合器从动盘zc</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67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2EF9AEE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D3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7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分离轴承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A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06D312D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79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3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离合总泵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08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w:t>
            </w:r>
          </w:p>
        </w:tc>
      </w:tr>
      <w:tr w14:paraId="62554B9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CD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9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离合器助力器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D7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446.5</w:t>
            </w:r>
          </w:p>
        </w:tc>
      </w:tr>
      <w:tr w14:paraId="58F2A15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F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D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排气管垫</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A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885B62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4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3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9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8550</w:t>
            </w:r>
          </w:p>
        </w:tc>
      </w:tr>
      <w:tr w14:paraId="6C39BCD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E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8B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除气钢管-发动机</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0B40B92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1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C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空调散热网490*690</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0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w:t>
            </w:r>
          </w:p>
        </w:tc>
      </w:tr>
      <w:tr w14:paraId="350D11A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F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81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前轮胎螺丝22*L95</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8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23.75</w:t>
            </w:r>
          </w:p>
        </w:tc>
      </w:tr>
      <w:tr w14:paraId="75644C4B">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96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B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外六角螺丝M12</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F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24B05D7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F5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8C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尾板齿轮泵18螺牙公制</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62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726.75</w:t>
            </w:r>
          </w:p>
        </w:tc>
      </w:tr>
      <w:tr w14:paraId="0E3A144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68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6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中心螺丝14*180</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0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CCEF3A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5A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6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中心螺丝14*260</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21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2E8655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6C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4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DPF卡箍垫片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8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228</w:t>
            </w:r>
          </w:p>
        </w:tc>
      </w:tr>
      <w:tr w14:paraId="4B22256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E7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7C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垂臂垫片</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B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66F4F7A">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A4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F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寸垫</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8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702E48C1">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4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BC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软垫总成-发动机前悬置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A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4146B19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48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后轮轴承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5D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232.75</w:t>
            </w:r>
          </w:p>
        </w:tc>
      </w:tr>
      <w:tr w14:paraId="4F426AD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9C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3B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调心滚子轴承</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78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270.75</w:t>
            </w:r>
          </w:p>
        </w:tc>
      </w:tr>
      <w:tr w14:paraId="57CC8AA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F0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E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轴承 (进口)</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0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243E350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4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C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轴承 25520037</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D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C07A5CC">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29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8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轴承 29590</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2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753A6051">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80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4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勾臂销轴铜套</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E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w:t>
            </w:r>
          </w:p>
        </w:tc>
      </w:tr>
      <w:tr w14:paraId="30328F7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BE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6E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变速箱随动阀</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88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370.5</w:t>
            </w:r>
          </w:p>
        </w:tc>
      </w:tr>
      <w:tr w14:paraId="358D120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47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EA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变速箱修理包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1D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1420DE4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5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A3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方向机垂臂</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8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27E9A6F8">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D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9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方向机助力泵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5E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836</w:t>
            </w:r>
          </w:p>
        </w:tc>
      </w:tr>
      <w:tr w14:paraId="131D543D">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9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B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方向盘总成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E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304</w:t>
            </w:r>
          </w:p>
        </w:tc>
      </w:tr>
      <w:tr w14:paraId="777944B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3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6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垂臂</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7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00FDDCC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E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86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垂直构件</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06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0E4617B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1A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AD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飞轮</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2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643684B3">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DC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43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飞轮齿 128</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B4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555D35D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3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9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飞轮齿环</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F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133</w:t>
            </w:r>
          </w:p>
        </w:tc>
      </w:tr>
      <w:tr w14:paraId="6786D474">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92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5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主销修理包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CD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484.5</w:t>
            </w:r>
          </w:p>
        </w:tc>
      </w:tr>
      <w:tr w14:paraId="34171CB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CA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转向节主销修理包</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0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2541102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5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155</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CA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后调整臂 14C*115</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8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3283ED6">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B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156</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B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后调整臂总成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03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511BA99">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6D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157</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4C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前右调整臂总成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C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24961E9E">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F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158</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23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前左调整臂总成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5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75A3D095">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5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159</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6C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调整臂轴铜套</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E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68EE9FC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A4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160</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37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手刹传感器</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2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33F459D7">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D7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A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手刹鼓总成</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94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826.5</w:t>
            </w:r>
          </w:p>
        </w:tc>
      </w:tr>
      <w:tr w14:paraId="57CF2F20">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82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162</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8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后分泵</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2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137.75</w:t>
            </w:r>
          </w:p>
        </w:tc>
      </w:tr>
      <w:tr w14:paraId="2F063702">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0E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163</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C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后分泵-右后</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3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209</w:t>
            </w:r>
          </w:p>
        </w:tc>
      </w:tr>
      <w:tr w14:paraId="71A41B1F">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85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164</w:t>
            </w:r>
          </w:p>
        </w:tc>
        <w:tc>
          <w:tcPr>
            <w:tcW w:w="4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C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十字节</w:t>
            </w:r>
          </w:p>
        </w:tc>
        <w:tc>
          <w:tcPr>
            <w:tcW w:w="2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AB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bl>
    <w:p w14:paraId="7F22EF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2、轮胎费用最高限价</w:t>
      </w:r>
    </w:p>
    <w:tbl>
      <w:tblPr>
        <w:tblStyle w:val="13"/>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6"/>
        <w:gridCol w:w="4922"/>
        <w:gridCol w:w="2571"/>
      </w:tblGrid>
      <w:tr w14:paraId="097C4636">
        <w:trPr>
          <w:trHeight w:val="466"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71B">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72D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商品型号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3D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最高限价（元/项）</w:t>
            </w:r>
          </w:p>
        </w:tc>
      </w:tr>
      <w:tr w14:paraId="6EF5BF7A">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6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F2F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1100R20-钢丝胎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F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1463</w:t>
            </w:r>
          </w:p>
        </w:tc>
      </w:tr>
      <w:tr w14:paraId="2C001A87">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70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227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295-80R22.5-真空胎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41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1463</w:t>
            </w:r>
          </w:p>
        </w:tc>
      </w:tr>
      <w:tr w14:paraId="6E41A4CE">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C4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D1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215-75R16-真空胎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0D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608</w:t>
            </w:r>
          </w:p>
        </w:tc>
      </w:tr>
      <w:tr w14:paraId="6302A41A">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C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E5B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700R16-钢丝胎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76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608</w:t>
            </w:r>
          </w:p>
        </w:tc>
      </w:tr>
      <w:tr w14:paraId="62534A56">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9A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7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245-70R16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FC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608</w:t>
            </w:r>
          </w:p>
        </w:tc>
      </w:tr>
      <w:tr w14:paraId="00F6F644">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0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1D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内胎-大</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C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21EA95D4">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A3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7D2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内胎-小</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58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950A4EF">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6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8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胎利-大</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A4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09638779">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6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8C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胎利-小</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04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2C28AA9D">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B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2A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贴片-真空胎（进口）</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E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377D78C6">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5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08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贴片-钢丝胎</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A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169F048C">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D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D1D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补胎工时费-小车</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3A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1D0715F0">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9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1B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补胎工时费-大车</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7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5BFB4A3D">
        <w:trPr>
          <w:trHeight w:val="528"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4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6AF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补胎工时费-水车</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FA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7DBCC051">
        <w:trPr>
          <w:trHeight w:val="593" w:hRule="atLeast"/>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A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FB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应急救援上门服务费深圳市内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A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bl>
    <w:p w14:paraId="6F0CC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3、东风系列底盘工时最高限价</w:t>
      </w:r>
    </w:p>
    <w:tbl>
      <w:tblPr>
        <w:tblStyle w:val="13"/>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616"/>
        <w:gridCol w:w="3082"/>
      </w:tblGrid>
      <w:tr w14:paraId="19CA720B">
        <w:trPr>
          <w:trHeight w:val="7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0D2">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C43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工作项目</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094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工时最高限价(元/项)</w:t>
            </w:r>
          </w:p>
        </w:tc>
      </w:tr>
      <w:tr w14:paraId="2A3B9D0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37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9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主机保养/更换机油及滤芯</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B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006235F5">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FD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AA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轮毂清洗保养</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51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3CB00A3A">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6E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8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换制动蹄片</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6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688A8741">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76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5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换制动鼓</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E9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569B1D9F">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E7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29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车辆打黄油</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07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7D6E18E7">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47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A1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换离合总泵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AD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65678D2D">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7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0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换离合分泵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56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3DD9CB9A">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5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9C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换驾驶室举升油泵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9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2FF8395">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1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3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换驾驶室举升油缸</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9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104.5</w:t>
            </w:r>
          </w:p>
        </w:tc>
      </w:tr>
      <w:tr w14:paraId="381EAEDE">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6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22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换燃油箱总成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3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0C55FFD9">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23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7C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拆装油箱护栏</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2F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4DF6863">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8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E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清洗油路 (不含油箱)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6C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7348949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42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6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换油门线</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06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3C0E1373">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2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B3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换膨胀水箱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8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6CE2A5D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23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5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换散热器总成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BC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60BD5607">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30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A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换方向机总成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1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318.25</w:t>
            </w:r>
          </w:p>
        </w:tc>
      </w:tr>
      <w:tr w14:paraId="1B1B72B2">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87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1B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换横拉杆总成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7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14B7D4B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4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1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换直拉杆总成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64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3DE56808">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8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E6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换横拉杆球头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4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6F68EA5">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45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F7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调整前束</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45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4A93A1D8">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2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D5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换转向节总成或主销</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5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43935319">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81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F9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换各类气阀</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D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052D475E">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0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1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检修变速箱副箱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FB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874</w:t>
            </w:r>
          </w:p>
        </w:tc>
      </w:tr>
      <w:tr w14:paraId="5C4B1AC2">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C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8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换变速箱小盖总成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67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0B88AB2A">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8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A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换变速箱大盖总成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0E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24BC6465">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F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8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7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655.5</w:t>
            </w:r>
          </w:p>
        </w:tc>
      </w:tr>
      <w:tr w14:paraId="104B13A9">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09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64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换中桥主动锥齿轮油封</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8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34AF37C7">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01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8D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换后桥减速器总成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B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2F2D3B47">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B8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1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换中桥减速器总成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A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546.25</w:t>
            </w:r>
          </w:p>
        </w:tc>
      </w:tr>
      <w:tr w14:paraId="0CEA029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6A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9A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检修中桥主减速器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F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05D349D7">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60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51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C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0E7597AE">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9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0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换传动轴中间支承总成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7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1BB3EA4">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1F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7E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换传动轴十字轴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3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17E270A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70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D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换前制动分泵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B4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356E4A0D">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8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4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换后制动分泵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C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09CF384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FC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DD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换制动调整臂</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5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08B9EA4D">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B8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85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换拉力胶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9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0BC851FE">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B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5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换平衡轴及支架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B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132EB68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C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A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换排气管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2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7F7E3A5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3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A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换消声器总成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9F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w:t>
            </w:r>
          </w:p>
        </w:tc>
      </w:tr>
      <w:tr w14:paraId="1A0D2A23">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5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DB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换前钢板弹簧片</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A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275.5</w:t>
            </w:r>
          </w:p>
        </w:tc>
      </w:tr>
      <w:tr w14:paraId="6B9425AF">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30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D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换后桥壳</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1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103B73C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B0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6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换中桥壳</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D6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FCA793A">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8F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1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大修变速箱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E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6E73D84F">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00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E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更换变速箱二轴油封</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D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1030E5BD">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F8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0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换离合器片或压盘</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5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39F58475">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20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98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发动机中修</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8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1520</w:t>
            </w:r>
          </w:p>
        </w:tc>
      </w:tr>
      <w:tr w14:paraId="708A9EAE">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06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E4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换前油封</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8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323</w:t>
            </w:r>
          </w:p>
        </w:tc>
      </w:tr>
      <w:tr w14:paraId="073B5F8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F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3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换风扇皮带</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D5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3852E04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4B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F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换飞轮壳 (后齿轮室盖)</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8A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437E245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2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77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换机油冷却器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6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4CE4CB5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EE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21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换水泵总成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F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2BFB30BD">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EC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6D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换皮带涨紧轮</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0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2B0EBF19">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7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7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换风扇总成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2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104.5</w:t>
            </w:r>
          </w:p>
        </w:tc>
      </w:tr>
      <w:tr w14:paraId="5E33B26C">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04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8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更换进气管盖</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E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061ED88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5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0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更换排气管盖</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8F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434DAF28">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CD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2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更换空压机总成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0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171</w:t>
            </w:r>
          </w:p>
        </w:tc>
      </w:tr>
      <w:tr w14:paraId="4A9DFE9A">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1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58</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E0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更换高压油泵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E0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4CBCB60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1E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59</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6B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更换喷油嘴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A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78A82F02">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F0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60</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F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更换进口氮氧传感器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0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133</w:t>
            </w:r>
          </w:p>
        </w:tc>
      </w:tr>
      <w:tr w14:paraId="606A1E11">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1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30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更换呼吸器盖</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2A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7D39266B">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F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62</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1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PDF 再生处理/编程</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DD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28B244B6">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1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63</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1FEBC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换增压器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6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71DE3829">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E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64</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top"/>
          </w:tcPr>
          <w:p w14:paraId="56AF72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换液压泵</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7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03675310">
        <w:trPr>
          <w:trHeight w:val="6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B6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65</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ABC94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换摇臂室盖密封垫</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43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714974F">
        <w:trPr>
          <w:trHeight w:val="6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9E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4CA31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换节温器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B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bl>
    <w:p w14:paraId="1CBF39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4、东风电气部分工时最高限价</w:t>
      </w:r>
    </w:p>
    <w:tbl>
      <w:tblPr>
        <w:tblStyle w:val="13"/>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4"/>
        <w:gridCol w:w="4282"/>
        <w:gridCol w:w="3032"/>
      </w:tblGrid>
      <w:tr w14:paraId="12F87303">
        <w:trPr>
          <w:trHeight w:val="907"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A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2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工作项目</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6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工时最高限价(元/项)</w:t>
            </w:r>
          </w:p>
        </w:tc>
      </w:tr>
      <w:tr w14:paraId="69FF7F8C">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99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39D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换前照大灯总成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A7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1CB83F9B">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B3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E4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更换雾灯</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F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0C7A9D4">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6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720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换尾灯总成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D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41B48FFA">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B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4B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换收放机总成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DC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660F909">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F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8E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换温控开关</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1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5E227EC0">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9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80D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换水温传感器</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0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29397F8">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C9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3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换雨刮电机</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7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310E149E">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64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670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换仪表总成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EE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11DFC5F6">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AA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52B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换鼓风机总成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4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18A061FF">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2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87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换暖风系统总成</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36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7E25A3FB">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3F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79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换点火锁</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4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BEF4D9A">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62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58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换门锁芯</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8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1FC76A5F">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85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EF9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换驾驶室线束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37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874</w:t>
            </w:r>
          </w:p>
        </w:tc>
      </w:tr>
      <w:tr w14:paraId="534B6573">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D7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E7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换全车门锁</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0F8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304</w:t>
            </w:r>
          </w:p>
        </w:tc>
      </w:tr>
      <w:tr w14:paraId="4E72CB9C">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A6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179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换车架线束</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C5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0311C5CB">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D8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8E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换压缩机总成</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FA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67D01EA3">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73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BA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换空调散热网</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76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00F6E319">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6A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A8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抽空加雪种</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AD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104.5</w:t>
            </w:r>
          </w:p>
        </w:tc>
      </w:tr>
      <w:tr w14:paraId="0F073538">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EC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A6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换组合开关</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D93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787C81D3">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90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换蓄电池总成</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109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2929806C">
        <w:trPr>
          <w:trHeight w:val="63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9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1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换电喇叭</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8E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441D3198">
        <w:trPr>
          <w:trHeight w:val="642" w:hRule="atLeast"/>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3B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A92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拆装仪表台总成</w:t>
            </w:r>
          </w:p>
        </w:tc>
        <w:tc>
          <w:tcPr>
            <w:tcW w:w="3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2E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bl>
    <w:p w14:paraId="2C577AE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中联、徐工、三一、福龙马纯电动车辆</w:t>
      </w:r>
    </w:p>
    <w:p w14:paraId="337D07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5.1电气部分最高限价</w:t>
      </w:r>
    </w:p>
    <w:tbl>
      <w:tblPr>
        <w:tblStyle w:val="13"/>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4217"/>
        <w:gridCol w:w="3793"/>
      </w:tblGrid>
      <w:tr w14:paraId="7D469B1A">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C551">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2FF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工作项目</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E07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工时最高限价 (元/项)</w:t>
            </w:r>
          </w:p>
        </w:tc>
      </w:tr>
      <w:tr w14:paraId="264FCFCA">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1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24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电瓶亏电，启动车辆</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30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27E0899E">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9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F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整车线束检查修复</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4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1E8FDE22">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E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07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整车灯光检查修复</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D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7AF17E46">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3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C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更换空调控制面板</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29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27ED0372">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F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70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更换干燥器</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2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4CD1F173">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32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1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更换干燥器压力开关</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A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709EA014">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B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E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更换陶瓷保险</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D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7185F2C2">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B9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1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换前照大灯总成(雾灯一样)</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A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7F6B3EA0">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46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9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换尾灯总成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2B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75066C2A">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BB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4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换收放机总成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03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61CC7D62">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7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F1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换温控开关</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0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0392696">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59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3A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换水位传感器</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E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0C8553F1">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8E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FC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换雨刮电机</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8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8667D7E">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6E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23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换仪表总成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0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4BF0A3D3">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9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ED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换鼓风机总成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75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4D0A46D3">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7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87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换暖风系统总成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5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w:t>
            </w:r>
          </w:p>
        </w:tc>
      </w:tr>
      <w:tr w14:paraId="6578AB7D">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8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8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换点火锁</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88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61D04AB7">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7B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11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换门锁芯</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51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670DAD0">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F3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A7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换驾驶室线束</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B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5CE3AB64">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89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C0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换压缩机总成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4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68FCD95A">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1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F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换空调散热网</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9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515B496A">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1C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3D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抽空加雪种</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B3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5F5B08C0">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4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6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换组合开关</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CE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5C99280F">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C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2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换蓄电池总成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D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2816EF94">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E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E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换电喇叭</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47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3B64EA01">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02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5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拆装仪表台总成</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5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02B68BAD">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1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9D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加装气喇叭</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FF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bl>
    <w:p w14:paraId="57C590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5.2驾驶室及上装部分最高限价</w:t>
      </w:r>
    </w:p>
    <w:tbl>
      <w:tblPr>
        <w:tblStyle w:val="13"/>
        <w:tblW w:w="8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3933"/>
        <w:gridCol w:w="3950"/>
      </w:tblGrid>
      <w:tr w14:paraId="21B0F7DA">
        <w:trPr>
          <w:trHeight w:val="797"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6DE">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863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工作项目</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55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工时最高限价 (元/项)</w:t>
            </w:r>
          </w:p>
        </w:tc>
      </w:tr>
      <w:tr w14:paraId="097854B1">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1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8D2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更换行走轮或轴承</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4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775C1603">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99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4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8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9519CC8">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89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46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更换扫盘油管</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FD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A4B06C5">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B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831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更换扫盘电机</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DD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3511408">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71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777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更换扫盘支架</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5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47621A64">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22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79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更换水过滤器</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8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CE82F36">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00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41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更换双过滤器</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D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7874C20">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FE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F5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拆装吸盘及附件</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B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570</w:t>
            </w:r>
          </w:p>
        </w:tc>
      </w:tr>
      <w:tr w14:paraId="361FC665">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9E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3B0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更换后洒水口</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1E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57B345D">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51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D14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更换电磁阀</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4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13120030">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CE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1A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更换切断阀</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2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616EA2E6">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E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63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更换尾门密封胶条</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55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6D4C4B43">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8C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AA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更换扫盘销轴</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F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69E339AF">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4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8C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更换低压水泵</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D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327.75</w:t>
            </w:r>
          </w:p>
        </w:tc>
      </w:tr>
      <w:tr w14:paraId="46413B34">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D3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76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更换电磁离合器</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FF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327.75</w:t>
            </w:r>
          </w:p>
        </w:tc>
      </w:tr>
      <w:tr w14:paraId="626B99B8">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7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55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更换风机皮带</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53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21FDA6FB">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B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3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更换高压水泵皮带</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E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69F2B796">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71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8D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更换吸盘喷水杆</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1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600DEF0D">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8B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4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更换喷水支架</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4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2E027172">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1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62F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更换吸盘直拉杆</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6A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773DE1FE">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2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61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更换扫盘油缸</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88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43B3B9A2">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B0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34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更换喷水架气缸</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5E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1768F904">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85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493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更换喷水管</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D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345B60C">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76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24</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E7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更换风机风口密封胶条</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9F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43FD6DC">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AE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163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更换倒车镜</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DF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7FD08708">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0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A9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换前挡风玻璃</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FC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53BCFB62">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9C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27</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B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换车门玻璃</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C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4CDF6BE1">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B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5C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换玻璃升降器</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A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1B4B129A">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0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8E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换倒车镜支架</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E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4FEB6F89">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4E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E7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换车门锁</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C4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5DDAF79C">
        <w:trPr>
          <w:trHeight w:val="63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8F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31</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21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换前保险杠总成</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E3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4CF64363">
        <w:trPr>
          <w:trHeight w:val="649"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5B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81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安装挡泥板</w:t>
            </w:r>
          </w:p>
        </w:tc>
        <w:tc>
          <w:tcPr>
            <w:tcW w:w="3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FF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bl>
    <w:p w14:paraId="3C9E6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5.3底盘工时最高限价</w:t>
      </w:r>
    </w:p>
    <w:tbl>
      <w:tblPr>
        <w:tblStyle w:val="13"/>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4394"/>
        <w:gridCol w:w="3461"/>
      </w:tblGrid>
      <w:tr w14:paraId="6BE368FD">
        <w:trPr>
          <w:trHeight w:val="7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A2BA">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4A4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工作项目</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C40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工时最高限价 (元/项)</w:t>
            </w:r>
          </w:p>
        </w:tc>
      </w:tr>
      <w:tr w14:paraId="763F17D9">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2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948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底盘检查</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89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2FD54F98">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C9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97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轮毂清洗保养（轮）</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9A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37CF2316">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3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93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换制动蹄片（轮）</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E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31EDAA4A">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C0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E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更换方向机油及滤芯</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0D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396E4DC">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F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5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换驾驶室举升油泵</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B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70198102">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14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46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换驾驶室举升油缸</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02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59FFA7D5">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6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71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清洗水箱</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B3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6B35AFCE">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BF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1A6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换油门踏板</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A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85D11C2">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0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49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换膨胀水箱</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9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274C8E2D">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F7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152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换散热器总成</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C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6D608B2B">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A3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6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换方向机总成</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E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327.75</w:t>
            </w:r>
          </w:p>
        </w:tc>
      </w:tr>
      <w:tr w14:paraId="5FDB107D">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C7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3AD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换横拉杆总成</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9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2A850DF3">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7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AB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换直拉杆总成</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D1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218.5</w:t>
            </w:r>
          </w:p>
        </w:tc>
      </w:tr>
      <w:tr w14:paraId="0AD71871">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FE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14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换横拉杆球头（单个）</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05F8E383">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C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36D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换各类气阀</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B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5C8721EC">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5A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02E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7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695DC265">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A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17</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3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换传动轴中间支承总成</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0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161.5</w:t>
            </w:r>
          </w:p>
        </w:tc>
      </w:tr>
      <w:tr w14:paraId="4CA2E3BD">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5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E0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换传动轴十字轴</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1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16691631">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44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3A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换前制动分泵</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AA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7E313FD0">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E4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7A3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换后制动分泵</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1F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117099D6">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A3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21</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F9C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换制动调整臂</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51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5658472B">
        <w:trPr>
          <w:trHeight w:val="580" w:hRule="atLeast"/>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97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A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换前钢板弹簧片</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AD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327.75</w:t>
            </w:r>
          </w:p>
        </w:tc>
      </w:tr>
    </w:tbl>
    <w:p w14:paraId="4A0B7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5.4配件最高限价</w:t>
      </w:r>
    </w:p>
    <w:tbl>
      <w:tblPr>
        <w:tblStyle w:val="13"/>
        <w:tblW w:w="8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5444"/>
        <w:gridCol w:w="2462"/>
      </w:tblGrid>
      <w:tr w14:paraId="6F493006">
        <w:trPr>
          <w:trHeight w:val="779"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FE46">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CD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商品名称</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95A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最高限价（元/项）</w:t>
            </w:r>
          </w:p>
        </w:tc>
      </w:tr>
      <w:tr w14:paraId="12D3B65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6C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6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空气干燥器总成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B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712.5</w:t>
            </w:r>
          </w:p>
        </w:tc>
      </w:tr>
      <w:tr w14:paraId="25F8767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A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E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空气压力表传感器总成-空压机</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8A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4B87B5C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9E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A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滤芯总成-空气滤清器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8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209</w:t>
            </w:r>
          </w:p>
        </w:tc>
      </w:tr>
      <w:tr w14:paraId="2DA15BE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3A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C5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天勾空气干燥器总成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7B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097D8C0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1D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F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空调暖风控制器面板</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D5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03DD267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C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8C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暖风出水管-驾驶室</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F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3DEC3179">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C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A7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暖风电阻</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A5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61D4B84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F0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C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暖风机进水管</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5F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75BB80D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FC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0C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暖风进水管-驾驶室</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A3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04976F1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0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A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暖风空调控制板</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3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978730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BD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5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暖风水箱</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C0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w:t>
            </w:r>
          </w:p>
        </w:tc>
      </w:tr>
      <w:tr w14:paraId="7ADB567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4B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C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蒸发器温度传感器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4B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w:t>
            </w:r>
          </w:p>
        </w:tc>
      </w:tr>
      <w:tr w14:paraId="53A0A81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3A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E0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直拉杆总成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C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39B56FA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17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7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中央配电盒</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FC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532</w:t>
            </w:r>
          </w:p>
        </w:tc>
      </w:tr>
      <w:tr w14:paraId="045AD03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44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0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中央配电盒总成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4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2090</w:t>
            </w:r>
          </w:p>
        </w:tc>
      </w:tr>
      <w:tr w14:paraId="358000C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52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DA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转速传感器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9B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902.5</w:t>
            </w:r>
          </w:p>
        </w:tc>
      </w:tr>
      <w:tr w14:paraId="6638010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6F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20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转向泵电机</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68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2327.5</w:t>
            </w:r>
          </w:p>
        </w:tc>
      </w:tr>
      <w:tr w14:paraId="2603265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4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5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E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3420</w:t>
            </w:r>
          </w:p>
        </w:tc>
      </w:tr>
      <w:tr w14:paraId="104C251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1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BD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电控气喇叭总成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6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90.25</w:t>
            </w:r>
          </w:p>
        </w:tc>
      </w:tr>
      <w:tr w14:paraId="07B2C93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BB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8C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电源总开关</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E0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152</w:t>
            </w:r>
          </w:p>
        </w:tc>
      </w:tr>
      <w:tr w14:paraId="4216D8F9">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9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6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电子扇 12V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2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313.5</w:t>
            </w:r>
          </w:p>
        </w:tc>
      </w:tr>
      <w:tr w14:paraId="7BC9576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45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4D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操作面板</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5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2090</w:t>
            </w:r>
          </w:p>
        </w:tc>
      </w:tr>
      <w:tr w14:paraId="79EEDC8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4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8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AMT 换挡旋钮开关总成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2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4F22EC0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9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D3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点火开关</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8A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137.75</w:t>
            </w:r>
          </w:p>
        </w:tc>
      </w:tr>
      <w:tr w14:paraId="5C2D085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B4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55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电子扇</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A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266</w:t>
            </w:r>
          </w:p>
        </w:tc>
      </w:tr>
      <w:tr w14:paraId="3062BDC5">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09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06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继电器总成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9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76643C7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C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9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冷凝器总成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FE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760</w:t>
            </w:r>
          </w:p>
        </w:tc>
      </w:tr>
      <w:tr w14:paraId="083F33B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A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C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闪光器总成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7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3B10ED8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12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B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雨刮片</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8E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3EBFE3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54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FF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雨刮传动机构总成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01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104.5</w:t>
            </w:r>
          </w:p>
        </w:tc>
      </w:tr>
      <w:tr w14:paraId="64D7B0A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3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7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鼓风机马达</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89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494</w:t>
            </w:r>
          </w:p>
        </w:tc>
      </w:tr>
      <w:tr w14:paraId="4EEF9A3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A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2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鼓风机马达带叶轮</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3E41A03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04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9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刮水电机总成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EC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180.5</w:t>
            </w:r>
          </w:p>
        </w:tc>
      </w:tr>
      <w:tr w14:paraId="060F86F9">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2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9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刮水电机总成  ( 12V)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30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35DF08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C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3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刮水间歇继电器总成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2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1AA9EED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C13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5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驾驶室电动举升开关总成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A8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4AABD11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FD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22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空调压力开关</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6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0F13DDB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9F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6C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快充线-直流快充线接口</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C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2232.5</w:t>
            </w:r>
          </w:p>
        </w:tc>
      </w:tr>
      <w:tr w14:paraId="4AC28B1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B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11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温控开关</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36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56F89A3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6A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95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温控器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C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5269FAF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9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4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电池 150A</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F3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1140</w:t>
            </w:r>
          </w:p>
        </w:tc>
      </w:tr>
      <w:tr w14:paraId="15C2C56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B5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01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车身控制器总成/带遥控/EV35</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BC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1CD1367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6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04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骆驼电池</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0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1CEEBA5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9F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8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盆形电喇叭</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E6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593EA58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6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0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空气干燥器总成</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6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712.5</w:t>
            </w:r>
          </w:p>
        </w:tc>
      </w:tr>
      <w:tr w14:paraId="5E724F29">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3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B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闪光器;D913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A8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23.75</w:t>
            </w:r>
          </w:p>
        </w:tc>
      </w:tr>
      <w:tr w14:paraId="1227B68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9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7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3#极压复合锂基脂(底盘用润油);1000g/桶</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B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6ED5D03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9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4E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空调压缩机,CH27M4,400V-750V,定频</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4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639CEB6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E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4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调压阀 VRT3-ES</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B0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6DD511B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97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1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电磁线圈;SCOE-24DC</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7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204.25</w:t>
            </w:r>
          </w:p>
        </w:tc>
      </w:tr>
      <w:tr w14:paraId="6277065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F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3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销轴,25*75,焊接Z</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0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45871FD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0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5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弹簧;1000-13164用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F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0723E8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7C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C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摩擦片;1000-13164用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3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465.5</w:t>
            </w:r>
          </w:p>
        </w:tc>
      </w:tr>
      <w:tr w14:paraId="50F1DD1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68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A3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左电动玻璃升降器;D912</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6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156.75</w:t>
            </w:r>
          </w:p>
        </w:tc>
      </w:tr>
      <w:tr w14:paraId="7C75662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8E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F1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球阀,不锈钢,推柄,DN15,PN160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28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6DD1816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67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C3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水泵,隔膜泵,157024</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70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299.25</w:t>
            </w:r>
          </w:p>
        </w:tc>
      </w:tr>
      <w:tr w14:paraId="0260BE0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AB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35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警灯,JDX-1585A,箭头灯,右侧,24V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86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297F5F6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3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3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警灯,JDX-1585A,箭头灯,左侧,24V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20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522.5</w:t>
            </w:r>
          </w:p>
        </w:tc>
      </w:tr>
      <w:tr w14:paraId="22465F8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6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49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气动气缸,QMAL40X85-Y</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91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34CC1F1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D6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B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组合后尾灯,HA1793,ZX01,左侧,左舵,24V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BA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5B6EC51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A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B6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组合后尾灯,HA1794,ZX01,右侧,左舵,24V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C3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4CE0C3C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C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CE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脚轮轴,31*152,机加Z,带黄油嘴</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7C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0D72051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1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B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司机座椅调角器;D913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66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85.5</w:t>
            </w:r>
          </w:p>
        </w:tc>
      </w:tr>
      <w:tr w14:paraId="6B68F56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3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BD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水过滤器滤杯;SL-400SS;4303-03540用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1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980903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2C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F9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快换接头,公,G1/2,平面,16MPa</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E6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0CD3321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6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2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油缸,40/25-120*320,扫盘升降</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77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570</w:t>
            </w:r>
          </w:p>
        </w:tc>
      </w:tr>
      <w:tr w14:paraId="5E4B407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C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9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快换接头,母,G1/2,平面，16MPa</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A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147.25</w:t>
            </w:r>
          </w:p>
        </w:tc>
      </w:tr>
      <w:tr w14:paraId="4ACB42F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BD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E3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轮胎,聚氨酯,Φ230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E2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6323511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26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1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进出水阀组件;1949050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27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80.75</w:t>
            </w:r>
          </w:p>
        </w:tc>
      </w:tr>
      <w:tr w14:paraId="346BE38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B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7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水位传感器,M14*1.5,24mm</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6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54769F6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2E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FD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溢流阀,SYTYLF,M18*1.5,管式</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D4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308.75</w:t>
            </w:r>
          </w:p>
        </w:tc>
      </w:tr>
      <w:tr w14:paraId="7F7D095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6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B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法兰轴</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A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460CE61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C0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9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扫刷用轴承座</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83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14C04284">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1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DE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右马达座</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5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3854E21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5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42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侧喷杆上盖</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F8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50E69BC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85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D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橡胶圈,三元乙丙,Φ80*3,4*Φ8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2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E1FB46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A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7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按钮开关;LA167-B2-BEF33;绿</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50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571E714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4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C1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按钮开关;LA167-B2-BEF33;红</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1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61.75</w:t>
            </w:r>
          </w:p>
        </w:tc>
      </w:tr>
      <w:tr w14:paraId="542C6E7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12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A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油缸,40/25-145*380,扫盘摆动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F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570</w:t>
            </w:r>
          </w:p>
        </w:tc>
      </w:tr>
      <w:tr w14:paraId="6101523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A0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1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拉杆</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5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190</w:t>
            </w:r>
          </w:p>
        </w:tc>
      </w:tr>
      <w:tr w14:paraId="38B5A23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5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D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急停按钮</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3D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118.75</w:t>
            </w:r>
          </w:p>
        </w:tc>
      </w:tr>
      <w:tr w14:paraId="2C70A57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9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0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外开手柄;D913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A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63230BD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5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E5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空压机消声器滤芯</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8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76</w:t>
            </w:r>
          </w:p>
        </w:tc>
      </w:tr>
      <w:tr w14:paraId="525B8A4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F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C6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右车门升降器开关总成;D913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C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2BF808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D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A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左车门升降器开关总成;D913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FB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6A69665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02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B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冷凝风机;8103-22758用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6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489.25</w:t>
            </w:r>
          </w:p>
        </w:tc>
      </w:tr>
      <w:tr w14:paraId="46263CC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4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0D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卸扣 (A)SWI0.5T</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58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3C850DF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4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C3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不锈钢固定扣;4129-00094用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81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4330937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E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9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电动空压机空滤滤芯;(含两部分)</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B5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5E01D634">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9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F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气控水阀,高压,QVF-G1/2-SS，1联</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0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726.75</w:t>
            </w:r>
          </w:p>
        </w:tc>
      </w:tr>
      <w:tr w14:paraId="2F04ACA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4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E3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液压齿轮泵,CBTD-F410-ALH1R</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1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646</w:t>
            </w:r>
          </w:p>
        </w:tc>
      </w:tr>
      <w:tr w14:paraId="2737FE7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6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7E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机油滤芯</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8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w:t>
            </w:r>
          </w:p>
        </w:tc>
      </w:tr>
      <w:tr w14:paraId="4C3CF05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14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37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操作盒,CAN总线面板,司麦欧</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5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1092.5</w:t>
            </w:r>
          </w:p>
        </w:tc>
      </w:tr>
      <w:tr w14:paraId="1F8A212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4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D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进水旋转接头;G1/2;4303-02100用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3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5F252532">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D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D4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转向器修理包;含19件</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99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71.25</w:t>
            </w:r>
          </w:p>
        </w:tc>
      </w:tr>
      <w:tr w14:paraId="6CD13CF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5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12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警灯,TBD-6BLG,杆灯,左右侧,12/24V</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A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351.5</w:t>
            </w:r>
          </w:p>
        </w:tc>
      </w:tr>
      <w:tr w14:paraId="510056E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3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A9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枪柄;4304-00519用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14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4F7FAA5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1E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AE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气阀,调速阀,XJSM-JTS-Z04-02-B</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D9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19</w:t>
            </w:r>
          </w:p>
        </w:tc>
      </w:tr>
      <w:tr w14:paraId="7E30DFC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4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72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油封维修包</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4B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5CCE924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99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1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水封维修包</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C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380</w:t>
            </w:r>
          </w:p>
        </w:tc>
      </w:tr>
      <w:tr w14:paraId="34ED8D4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B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15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进出水阀组件;36714301</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1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1083</w:t>
            </w:r>
          </w:p>
        </w:tc>
      </w:tr>
      <w:tr w14:paraId="57C3ACA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C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C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暖风电机(带叶轮);D913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52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118.75</w:t>
            </w:r>
          </w:p>
        </w:tc>
      </w:tr>
      <w:tr w14:paraId="0C15F43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2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0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左上脚踏板护罩;配加宽轮罩;底漆;D913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D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679CFC3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0D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2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皮带 5R/15N 2380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03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997.5</w:t>
            </w:r>
          </w:p>
        </w:tc>
      </w:tr>
      <w:tr w14:paraId="640498C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D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6D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联轴器弹性体</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A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9A62EC4">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1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A7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单向节流阀,MK6G1.2/2,管式</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E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166.25</w:t>
            </w:r>
          </w:p>
        </w:tc>
      </w:tr>
      <w:tr w14:paraId="1836989E">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D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33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KF40高压水封;90283200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9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204.25</w:t>
            </w:r>
          </w:p>
        </w:tc>
      </w:tr>
      <w:tr w14:paraId="6EDE1C9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E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09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KT40 高压水封压环 90283800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D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687520B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E5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9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KT40 低压水封 90282800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D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299.25</w:t>
            </w:r>
          </w:p>
        </w:tc>
      </w:tr>
      <w:tr w14:paraId="53841674">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CB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9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传动轴</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E7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261.25</w:t>
            </w:r>
          </w:p>
        </w:tc>
      </w:tr>
      <w:tr w14:paraId="1561FE6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1A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E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花键轴;1000-13993用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E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118.75</w:t>
            </w:r>
          </w:p>
        </w:tc>
      </w:tr>
      <w:tr w14:paraId="456927C7">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9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D1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压盘（黑漆件）</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1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156.75</w:t>
            </w:r>
          </w:p>
        </w:tc>
      </w:tr>
      <w:tr w14:paraId="361707B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D1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6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轮体,Φ180*48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1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114</w:t>
            </w:r>
          </w:p>
        </w:tc>
      </w:tr>
      <w:tr w14:paraId="19E90464">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9B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E8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外端盖</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A1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33.25</w:t>
            </w:r>
          </w:p>
        </w:tc>
      </w:tr>
      <w:tr w14:paraId="630814A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B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45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脚轮端盖,Φ80*12,4*Φ8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86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5B4754B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F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D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深沟球轴承内套筒</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E5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3AA7CAD6">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AF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6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脚轮安装架</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AB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123.5</w:t>
            </w:r>
          </w:p>
        </w:tc>
      </w:tr>
      <w:tr w14:paraId="3847E17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A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B4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液压过滤器,WU-100X80-J,吸油,螺纹</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C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57</w:t>
            </w:r>
          </w:p>
        </w:tc>
      </w:tr>
      <w:tr w14:paraId="32418B9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F8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91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液压过滤器滤芯,FAX-63X10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1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133</w:t>
            </w:r>
          </w:p>
        </w:tc>
      </w:tr>
      <w:tr w14:paraId="26C9FE8F">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9E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9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空气滤清器,QUQ2-20X1.0,法兰</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7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47.5</w:t>
            </w:r>
          </w:p>
        </w:tc>
      </w:tr>
      <w:tr w14:paraId="53A41325">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2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A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高压过滤器滤芯;GX-40X10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27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2715D73D">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8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E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前示廓灯;D913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7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14.25</w:t>
            </w:r>
          </w:p>
        </w:tc>
      </w:tr>
      <w:tr w14:paraId="271ACBB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30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4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1型六角螺母,M16,达克罗</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3E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0.95</w:t>
            </w:r>
          </w:p>
        </w:tc>
      </w:tr>
      <w:tr w14:paraId="6AA69DC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10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6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六角法兰面承面带齿螺栓,M16*65(达克罗)</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66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76523BB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F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01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万能喷嘴底座;4630-02830用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B3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147.25</w:t>
            </w:r>
          </w:p>
        </w:tc>
      </w:tr>
      <w:tr w14:paraId="698409E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A6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2E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右旋转支架焊接</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11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17C293A8">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2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E1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左旋转支架焊接</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0E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294.5</w:t>
            </w:r>
          </w:p>
        </w:tc>
      </w:tr>
      <w:tr w14:paraId="118D491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9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C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管夹,THPG30-330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9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58EBD51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5B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1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弯铝;2809-03212用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E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118.75</w:t>
            </w:r>
          </w:p>
        </w:tc>
      </w:tr>
      <w:tr w14:paraId="2E32DF8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C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C6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封盖;2809-03212用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1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9.5</w:t>
            </w:r>
          </w:p>
        </w:tc>
      </w:tr>
      <w:tr w14:paraId="5EF3168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DB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FF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10米摄像头连接线 YX7301-05</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D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42.75</w:t>
            </w:r>
          </w:p>
        </w:tc>
      </w:tr>
      <w:tr w14:paraId="61EEC86A">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2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B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单泡侧置带龙骨密封,L=3200,三元乙丙橡胶</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59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1C4F58B0">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4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B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吸嘴滑块,500*70*30,右侧,尼龙</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0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7D0B92B3">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5D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134</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56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吸嘴滑块,1000*70*30,中段,尼龙</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D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256.5</w:t>
            </w:r>
          </w:p>
        </w:tc>
      </w:tr>
      <w:tr w14:paraId="56BEE46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5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C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吸嘴滑块,500*70*30,左侧,尼龙</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2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128.25</w:t>
            </w:r>
          </w:p>
        </w:tc>
      </w:tr>
      <w:tr w14:paraId="51EECF0B">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E7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136</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F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扫盘,900,Q235A,双夹数,凹形</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C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665</w:t>
            </w:r>
          </w:p>
        </w:tc>
      </w:tr>
      <w:tr w14:paraId="4D6B5DCC">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A3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9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水过滤器滤芯;SL-400SS;4303-03540用</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6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285</w:t>
            </w:r>
          </w:p>
        </w:tc>
      </w:tr>
      <w:tr w14:paraId="16A982E1">
        <w:trPr>
          <w:trHeight w:val="62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8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C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马达 BMP-160-2-A-D-H</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97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498.75</w:t>
            </w:r>
          </w:p>
        </w:tc>
      </w:tr>
      <w:tr w14:paraId="6C2366DB">
        <w:trPr>
          <w:trHeight w:val="63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86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139</w:t>
            </w:r>
          </w:p>
        </w:tc>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D4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喷枪，高压手持喷枪</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9C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snapToGrid w:val="0"/>
                <w:color w:val="000000"/>
                <w:kern w:val="0"/>
                <w:sz w:val="28"/>
                <w:szCs w:val="28"/>
                <w:u w:val="none"/>
                <w:lang w:val="en-US" w:eastAsia="zh-CN" w:bidi="ar"/>
              </w:rPr>
              <w:t>508.25</w:t>
            </w:r>
          </w:p>
        </w:tc>
      </w:tr>
    </w:tbl>
    <w:p w14:paraId="0671F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6、压缩箱配件及工时最高限价</w:t>
      </w:r>
    </w:p>
    <w:tbl>
      <w:tblPr>
        <w:tblStyle w:val="13"/>
        <w:tblW w:w="8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3301"/>
        <w:gridCol w:w="2100"/>
        <w:gridCol w:w="2125"/>
      </w:tblGrid>
      <w:tr w14:paraId="0C212E4B">
        <w:trPr>
          <w:trHeight w:val="628" w:hRule="atLeast"/>
        </w:trPr>
        <w:tc>
          <w:tcPr>
            <w:tcW w:w="1173" w:type="dxa"/>
            <w:tcBorders>
              <w:top w:val="single" w:color="000000" w:sz="4" w:space="0"/>
              <w:left w:val="single" w:color="000000" w:sz="4" w:space="0"/>
              <w:bottom w:val="nil"/>
              <w:right w:val="single" w:color="000000" w:sz="4" w:space="0"/>
            </w:tcBorders>
            <w:shd w:val="clear" w:color="auto" w:fill="auto"/>
            <w:vAlign w:val="center"/>
          </w:tcPr>
          <w:p w14:paraId="5C510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301" w:type="dxa"/>
            <w:tcBorders>
              <w:top w:val="single" w:color="000000" w:sz="4" w:space="0"/>
              <w:left w:val="single" w:color="000000" w:sz="4" w:space="0"/>
              <w:bottom w:val="nil"/>
              <w:right w:val="single" w:color="000000" w:sz="4" w:space="0"/>
            </w:tcBorders>
            <w:shd w:val="clear" w:color="auto" w:fill="auto"/>
            <w:vAlign w:val="center"/>
          </w:tcPr>
          <w:p w14:paraId="1F4B0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商品名称</w:t>
            </w:r>
          </w:p>
        </w:tc>
        <w:tc>
          <w:tcPr>
            <w:tcW w:w="2100" w:type="dxa"/>
            <w:tcBorders>
              <w:top w:val="single" w:color="000000" w:sz="4" w:space="0"/>
              <w:left w:val="single" w:color="000000" w:sz="4" w:space="0"/>
              <w:bottom w:val="nil"/>
              <w:right w:val="single" w:color="000000" w:sz="4" w:space="0"/>
            </w:tcBorders>
            <w:shd w:val="clear" w:color="auto" w:fill="auto"/>
            <w:vAlign w:val="center"/>
          </w:tcPr>
          <w:p w14:paraId="1DB999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工时限价</w:t>
            </w:r>
          </w:p>
          <w:p w14:paraId="433080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（元/项）</w:t>
            </w:r>
          </w:p>
        </w:tc>
        <w:tc>
          <w:tcPr>
            <w:tcW w:w="2125" w:type="dxa"/>
            <w:tcBorders>
              <w:top w:val="single" w:color="000000" w:sz="4" w:space="0"/>
              <w:left w:val="single" w:color="000000" w:sz="4" w:space="0"/>
              <w:bottom w:val="nil"/>
              <w:right w:val="single" w:color="000000" w:sz="4" w:space="0"/>
            </w:tcBorders>
            <w:shd w:val="clear" w:color="auto" w:fill="auto"/>
            <w:vAlign w:val="center"/>
          </w:tcPr>
          <w:p w14:paraId="20523F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配件费限价</w:t>
            </w:r>
          </w:p>
          <w:p w14:paraId="3F1CFC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（元/件）</w:t>
            </w:r>
          </w:p>
        </w:tc>
      </w:tr>
      <w:tr w14:paraId="63C084C9">
        <w:trPr>
          <w:trHeight w:val="49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A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3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推铲油管90/105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44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FB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r>
      <w:tr w14:paraId="6B822345">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D4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A2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后尾门胶条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D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F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r>
      <w:tr w14:paraId="1A1CB2E9">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9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F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推铲油缸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79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712.5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5B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2992.5</w:t>
            </w:r>
          </w:p>
        </w:tc>
      </w:tr>
      <w:tr w14:paraId="32647F9E">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62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8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翻转架油缸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59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6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1282.5</w:t>
            </w:r>
          </w:p>
        </w:tc>
      </w:tr>
      <w:tr w14:paraId="2500756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1B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F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尾门油缸</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DA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87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807.5</w:t>
            </w:r>
          </w:p>
        </w:tc>
      </w:tr>
      <w:tr w14:paraId="0DB58D66">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BD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0E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压力传感器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9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30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855</w:t>
            </w:r>
          </w:p>
        </w:tc>
      </w:tr>
      <w:tr w14:paraId="651412F2">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9D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9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电磁换向阀（单泵差动）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D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A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788.5</w:t>
            </w:r>
          </w:p>
        </w:tc>
      </w:tr>
      <w:tr w14:paraId="4100BED1">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D4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8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电磁换向阀（单泵推铲）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7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7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788.5</w:t>
            </w:r>
          </w:p>
        </w:tc>
      </w:tr>
      <w:tr w14:paraId="4A5386B5">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E6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F1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电磁换向阀（单泵翻转）</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1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60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788.5</w:t>
            </w:r>
          </w:p>
        </w:tc>
      </w:tr>
      <w:tr w14:paraId="11CFE15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2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7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双向液压锁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E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0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617.5</w:t>
            </w:r>
          </w:p>
        </w:tc>
      </w:tr>
      <w:tr w14:paraId="33FB589B">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3E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5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液位开关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91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B9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627</w:t>
            </w:r>
          </w:p>
        </w:tc>
      </w:tr>
      <w:tr w14:paraId="67020B4C">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C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9E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单向节流阀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4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EB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209</w:t>
            </w:r>
          </w:p>
        </w:tc>
      </w:tr>
      <w:tr w14:paraId="02B218B2">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17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FE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电机短路器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AD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86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266</w:t>
            </w:r>
          </w:p>
        </w:tc>
      </w:tr>
      <w:tr w14:paraId="6EBFBD99">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B8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7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交流接触器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5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8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237.5</w:t>
            </w:r>
          </w:p>
        </w:tc>
      </w:tr>
      <w:tr w14:paraId="7FC08E8D">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2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F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数字放大器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8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0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237.5</w:t>
            </w:r>
          </w:p>
        </w:tc>
      </w:tr>
      <w:tr w14:paraId="6FECE2DE">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65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7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开关电源</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E2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30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137.75</w:t>
            </w:r>
          </w:p>
        </w:tc>
      </w:tr>
      <w:tr w14:paraId="4365A32B">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2D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4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PLC</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E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5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1710</w:t>
            </w:r>
          </w:p>
        </w:tc>
      </w:tr>
      <w:tr w14:paraId="64C959BD">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0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23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4.3寸触摸屏</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E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AE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1567.5</w:t>
            </w:r>
          </w:p>
        </w:tc>
      </w:tr>
      <w:tr w14:paraId="7ED188E3">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91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5B2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转换开关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D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FEC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w:t>
            </w:r>
          </w:p>
        </w:tc>
      </w:tr>
      <w:tr w14:paraId="4A575C7F">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79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5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相序保护器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71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D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237.5</w:t>
            </w:r>
          </w:p>
        </w:tc>
      </w:tr>
      <w:tr w14:paraId="4B47B26B">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671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0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2B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7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589</w:t>
            </w:r>
          </w:p>
        </w:tc>
      </w:tr>
      <w:tr w14:paraId="5E60A976">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86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21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电源插头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78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23.75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4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66.5</w:t>
            </w:r>
          </w:p>
        </w:tc>
      </w:tr>
      <w:tr w14:paraId="2A33C30D">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6B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E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电源插座</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6F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AB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71.25</w:t>
            </w:r>
          </w:p>
        </w:tc>
      </w:tr>
      <w:tr w14:paraId="418CE9F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63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9C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齿轮泵（双联泵）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BA9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FC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2660</w:t>
            </w:r>
          </w:p>
        </w:tc>
      </w:tr>
      <w:tr w14:paraId="1D5DEAAD">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0F7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1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电磁换向阀（双泵推铲阀）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1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E9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760</w:t>
            </w:r>
          </w:p>
        </w:tc>
      </w:tr>
      <w:tr w14:paraId="0FD06FE9">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E8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8B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电磁换向阀（双泵差动阀）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C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2FA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760</w:t>
            </w:r>
          </w:p>
        </w:tc>
      </w:tr>
      <w:tr w14:paraId="1AEFEEF1">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D1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FB7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电磁换向阀（双泵卸荷阀）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F1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5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760</w:t>
            </w:r>
          </w:p>
        </w:tc>
      </w:tr>
      <w:tr w14:paraId="565E28B0">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7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1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西门子PLC(双泵）</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50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C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1520</w:t>
            </w:r>
          </w:p>
        </w:tc>
      </w:tr>
      <w:tr w14:paraId="3D421A58">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16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95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西门子模块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D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E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1254</w:t>
            </w:r>
          </w:p>
        </w:tc>
      </w:tr>
      <w:tr w14:paraId="479F27C9">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2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F0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进油滤芯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5D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D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104.5</w:t>
            </w:r>
          </w:p>
        </w:tc>
      </w:tr>
      <w:tr w14:paraId="6ECA980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B2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5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回油滤芯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F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9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r>
      <w:tr w14:paraId="2138CD70">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E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ED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C1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902.5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2B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332.5</w:t>
            </w:r>
          </w:p>
        </w:tc>
      </w:tr>
      <w:tr w14:paraId="549C951A">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5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37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翻转架油管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6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304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r>
      <w:tr w14:paraId="6551711E">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6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89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防撞块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E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13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w:t>
            </w:r>
          </w:p>
        </w:tc>
      </w:tr>
      <w:tr w14:paraId="0F42B243">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84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4E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拉杆焊合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D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04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r>
      <w:tr w14:paraId="6E9058B9">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07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0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尾门油管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9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42.75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11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52.25</w:t>
            </w:r>
          </w:p>
        </w:tc>
      </w:tr>
      <w:tr w14:paraId="77654071">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DA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D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翻转分流块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4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123.5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3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142.5</w:t>
            </w:r>
          </w:p>
        </w:tc>
      </w:tr>
      <w:tr w14:paraId="089B913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BF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89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推铲分流块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1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0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285</w:t>
            </w:r>
          </w:p>
        </w:tc>
      </w:tr>
      <w:tr w14:paraId="0EA90366">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C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9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上盖密封胶条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D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0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r>
      <w:tr w14:paraId="0448E818">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9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62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3层夹布胶板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21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B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380</w:t>
            </w:r>
          </w:p>
        </w:tc>
      </w:tr>
      <w:tr w14:paraId="2503348B">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50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0F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侧门密封胶条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1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D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w:t>
            </w:r>
          </w:p>
        </w:tc>
      </w:tr>
      <w:tr w14:paraId="00D31704">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53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9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维修门螺栓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E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A2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380</w:t>
            </w:r>
          </w:p>
        </w:tc>
      </w:tr>
      <w:tr w14:paraId="45B43650">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5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B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散热器轴流风机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5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B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532</w:t>
            </w:r>
          </w:p>
        </w:tc>
      </w:tr>
      <w:tr w14:paraId="0DE5FDAD">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8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3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翻转架增高支架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D9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C9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380</w:t>
            </w:r>
          </w:p>
        </w:tc>
      </w:tr>
      <w:tr w14:paraId="781C6B93">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4F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6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侧门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3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77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1757.5</w:t>
            </w:r>
          </w:p>
        </w:tc>
      </w:tr>
      <w:tr w14:paraId="4710B873">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E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A1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显示屏信号线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D0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142.5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88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171</w:t>
            </w:r>
          </w:p>
        </w:tc>
      </w:tr>
      <w:tr w14:paraId="046554F7">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20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D2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溢流阀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E5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2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1045</w:t>
            </w:r>
          </w:p>
        </w:tc>
      </w:tr>
      <w:tr w14:paraId="1C105915">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AD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0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按钮开关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8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D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104.5</w:t>
            </w:r>
          </w:p>
        </w:tc>
      </w:tr>
      <w:tr w14:paraId="42E2E96A">
        <w:trPr>
          <w:trHeight w:val="63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5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D6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急停开关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1F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66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66.5</w:t>
            </w:r>
          </w:p>
        </w:tc>
      </w:tr>
      <w:tr w14:paraId="1CE3CFCE">
        <w:trPr>
          <w:trHeight w:val="64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D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E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液压油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4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2C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2327.5</w:t>
            </w:r>
          </w:p>
        </w:tc>
      </w:tr>
    </w:tbl>
    <w:p w14:paraId="12A2A515">
      <w:pPr>
        <w:rPr>
          <w:rFonts w:hint="eastAsia" w:ascii="黑体" w:hAnsi="黑体" w:eastAsia="黑体" w:cs="黑体"/>
          <w:sz w:val="32"/>
          <w:szCs w:val="32"/>
          <w:highlight w:val="none"/>
          <w:lang w:val="en-US" w:eastAsia="zh-CN"/>
        </w:rPr>
      </w:pPr>
    </w:p>
    <w:p w14:paraId="2A3846BE">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14:paraId="1C2813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五、龙华街道城市管家项目定点维修服务车辆设备清单</w:t>
      </w:r>
    </w:p>
    <w:tbl>
      <w:tblPr>
        <w:tblStyle w:val="13"/>
        <w:tblW w:w="8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8"/>
        <w:gridCol w:w="3725"/>
        <w:gridCol w:w="1848"/>
        <w:gridCol w:w="1848"/>
      </w:tblGrid>
      <w:tr w14:paraId="7DA83E34">
        <w:trPr>
          <w:trHeight w:val="597" w:hRule="atLeast"/>
        </w:trPr>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F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现有车型</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D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能耗类型</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C1D426A">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9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路面养护车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4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3C1A4BB5">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5755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高压清洗车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6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2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ED7ED70">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6A0EC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C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E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8157A4A">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7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D17B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洗扫车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3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59C81A7">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B4F18A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8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5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099F2A">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A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25" w:type="dxa"/>
            <w:tcBorders>
              <w:top w:val="single" w:color="000000" w:sz="4" w:space="0"/>
              <w:left w:val="single" w:color="000000" w:sz="4" w:space="0"/>
              <w:bottom w:val="nil"/>
              <w:right w:val="single" w:color="000000" w:sz="4" w:space="0"/>
            </w:tcBorders>
            <w:shd w:val="clear" w:color="auto" w:fill="auto"/>
            <w:vAlign w:val="center"/>
          </w:tcPr>
          <w:p w14:paraId="538F1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皮卡车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E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BC1E6A5">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42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东风钩臂车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3624CE8">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28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0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779C549">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6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洒水车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3D17C91">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8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C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0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7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164E2A9">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DB0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5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3BAFB7">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C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E845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防撞缓冲车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1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984C8B2">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6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8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6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2B52E6D">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5A1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小型压缩车</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FC7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F70B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40E2D64">
        <w:trPr>
          <w:trHeight w:val="536"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23B40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572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F26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43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EF7F0C">
        <w:trPr>
          <w:trHeight w:val="536"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B577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8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自卸式货车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D13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E85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F3A731E">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193E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卡罗拉（租赁）</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6CA8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873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19248997">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两用压缩箱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CF97">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2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14:paraId="46FB6CB4">
        <w:trPr>
          <w:trHeight w:val="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小斗压缩箱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369">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7B3C5AB">
        <w:trPr>
          <w:trHeight w:val="6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201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B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F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bl>
    <w:p w14:paraId="7EDCF1A9">
      <w:pPr>
        <w:pStyle w:val="10"/>
        <w:rPr>
          <w:rFonts w:hint="default" w:ascii="仿宋" w:hAnsi="仿宋" w:eastAsia="仿宋" w:cs="仿宋"/>
          <w:b/>
          <w:bCs/>
          <w:sz w:val="24"/>
          <w:szCs w:val="24"/>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E4371"/>
    <w:multiLevelType w:val="singleLevel"/>
    <w:tmpl w:val="D86E4371"/>
    <w:lvl w:ilvl="0" w:tentative="0">
      <w:start w:val="4"/>
      <w:numFmt w:val="chineseCounting"/>
      <w:suff w:val="nothing"/>
      <w:lvlText w:val="%1、"/>
      <w:lvlJc w:val="left"/>
      <w:rPr>
        <w:rFonts w:hint="eastAsia"/>
      </w:rPr>
    </w:lvl>
  </w:abstractNum>
  <w:abstractNum w:abstractNumId="1">
    <w:nsid w:val="73DEF516"/>
    <w:multiLevelType w:val="singleLevel"/>
    <w:tmpl w:val="73DEF516"/>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YzRhZTFkZDU4N2U2MmMwN2FiNzQxOTkwNTJlNGEifQ=="/>
    <w:docVar w:name="KSO_WPS_MARK_KEY" w:val="0db50913-4cc0-4f5c-a909-c59f76bff19c"/>
  </w:docVars>
  <w:rsids>
    <w:rsidRoot w:val="00000000"/>
    <w:rsid w:val="00382DEE"/>
    <w:rsid w:val="005F5904"/>
    <w:rsid w:val="01747822"/>
    <w:rsid w:val="019C37AB"/>
    <w:rsid w:val="01C04E49"/>
    <w:rsid w:val="01C60A9B"/>
    <w:rsid w:val="01E96C2E"/>
    <w:rsid w:val="021C29C7"/>
    <w:rsid w:val="02532161"/>
    <w:rsid w:val="02994018"/>
    <w:rsid w:val="02B16458"/>
    <w:rsid w:val="03376076"/>
    <w:rsid w:val="039B1DA5"/>
    <w:rsid w:val="03E62402"/>
    <w:rsid w:val="04230CF2"/>
    <w:rsid w:val="04BC5C62"/>
    <w:rsid w:val="04C25C35"/>
    <w:rsid w:val="05197D6A"/>
    <w:rsid w:val="054F7546"/>
    <w:rsid w:val="05A47FA4"/>
    <w:rsid w:val="062067FE"/>
    <w:rsid w:val="066204CF"/>
    <w:rsid w:val="06B6300F"/>
    <w:rsid w:val="071F1601"/>
    <w:rsid w:val="07FC0115"/>
    <w:rsid w:val="080A23DF"/>
    <w:rsid w:val="08914928"/>
    <w:rsid w:val="08C85FE2"/>
    <w:rsid w:val="09466565"/>
    <w:rsid w:val="095F4ACD"/>
    <w:rsid w:val="09746E18"/>
    <w:rsid w:val="098A46BA"/>
    <w:rsid w:val="09CD0A4B"/>
    <w:rsid w:val="0A78795E"/>
    <w:rsid w:val="0ABD2EA9"/>
    <w:rsid w:val="0ADB0569"/>
    <w:rsid w:val="0C4B6E38"/>
    <w:rsid w:val="0D525E6F"/>
    <w:rsid w:val="0D5C16DA"/>
    <w:rsid w:val="0D9378B6"/>
    <w:rsid w:val="0D977A6F"/>
    <w:rsid w:val="0D98735D"/>
    <w:rsid w:val="0DC21F49"/>
    <w:rsid w:val="0DDC7061"/>
    <w:rsid w:val="0E3521DC"/>
    <w:rsid w:val="0ED124F9"/>
    <w:rsid w:val="0EF16F8A"/>
    <w:rsid w:val="0F4117CC"/>
    <w:rsid w:val="0F490B74"/>
    <w:rsid w:val="0F517ACC"/>
    <w:rsid w:val="0FA47B58"/>
    <w:rsid w:val="0FAB4401"/>
    <w:rsid w:val="0FF44753"/>
    <w:rsid w:val="106920B6"/>
    <w:rsid w:val="10DF4023"/>
    <w:rsid w:val="111772D2"/>
    <w:rsid w:val="11E34928"/>
    <w:rsid w:val="12413F80"/>
    <w:rsid w:val="124C454F"/>
    <w:rsid w:val="128F2D41"/>
    <w:rsid w:val="1296148B"/>
    <w:rsid w:val="12B858B8"/>
    <w:rsid w:val="12CB5C1F"/>
    <w:rsid w:val="132732BF"/>
    <w:rsid w:val="138A1E15"/>
    <w:rsid w:val="14197409"/>
    <w:rsid w:val="14553B17"/>
    <w:rsid w:val="147838E2"/>
    <w:rsid w:val="149E726C"/>
    <w:rsid w:val="14A4376A"/>
    <w:rsid w:val="14AB7E78"/>
    <w:rsid w:val="14BD76C0"/>
    <w:rsid w:val="14C33176"/>
    <w:rsid w:val="14C845E9"/>
    <w:rsid w:val="14E23878"/>
    <w:rsid w:val="151E65FF"/>
    <w:rsid w:val="15A07014"/>
    <w:rsid w:val="15DA15E8"/>
    <w:rsid w:val="16240CD3"/>
    <w:rsid w:val="16895690"/>
    <w:rsid w:val="16C04950"/>
    <w:rsid w:val="16C8346F"/>
    <w:rsid w:val="16E315DA"/>
    <w:rsid w:val="16F96496"/>
    <w:rsid w:val="173977AF"/>
    <w:rsid w:val="173C0761"/>
    <w:rsid w:val="178C77D8"/>
    <w:rsid w:val="181C512B"/>
    <w:rsid w:val="184243B2"/>
    <w:rsid w:val="18DB0633"/>
    <w:rsid w:val="18E53FBC"/>
    <w:rsid w:val="195C49A7"/>
    <w:rsid w:val="19913482"/>
    <w:rsid w:val="1A30258E"/>
    <w:rsid w:val="1A3F3E57"/>
    <w:rsid w:val="1B416BA3"/>
    <w:rsid w:val="1B4C7DFF"/>
    <w:rsid w:val="1B5E59A7"/>
    <w:rsid w:val="1B707E81"/>
    <w:rsid w:val="1BE32AD0"/>
    <w:rsid w:val="1BE449C5"/>
    <w:rsid w:val="1C27223D"/>
    <w:rsid w:val="1C421505"/>
    <w:rsid w:val="1C9A5DF9"/>
    <w:rsid w:val="1D857414"/>
    <w:rsid w:val="1D9B4C90"/>
    <w:rsid w:val="1DD56B0B"/>
    <w:rsid w:val="1E0850D6"/>
    <w:rsid w:val="1E147EF9"/>
    <w:rsid w:val="1E312007"/>
    <w:rsid w:val="1E407E74"/>
    <w:rsid w:val="1E64416A"/>
    <w:rsid w:val="1F36301B"/>
    <w:rsid w:val="1F3F7776"/>
    <w:rsid w:val="208961A8"/>
    <w:rsid w:val="20BA188B"/>
    <w:rsid w:val="20D0371B"/>
    <w:rsid w:val="219C0FD7"/>
    <w:rsid w:val="21DC13D3"/>
    <w:rsid w:val="22B509B6"/>
    <w:rsid w:val="235B3A3E"/>
    <w:rsid w:val="236A7F48"/>
    <w:rsid w:val="244613D7"/>
    <w:rsid w:val="249D1C15"/>
    <w:rsid w:val="258C3110"/>
    <w:rsid w:val="25D845A8"/>
    <w:rsid w:val="266B0F78"/>
    <w:rsid w:val="26831B0B"/>
    <w:rsid w:val="269F14EC"/>
    <w:rsid w:val="26BF30B8"/>
    <w:rsid w:val="27A00569"/>
    <w:rsid w:val="285C14C0"/>
    <w:rsid w:val="28CF4AA8"/>
    <w:rsid w:val="2A005659"/>
    <w:rsid w:val="2A1B716F"/>
    <w:rsid w:val="2ACC0017"/>
    <w:rsid w:val="2B3C4050"/>
    <w:rsid w:val="2B3F6D00"/>
    <w:rsid w:val="2B821F14"/>
    <w:rsid w:val="2C1218DE"/>
    <w:rsid w:val="2CDB1327"/>
    <w:rsid w:val="2E141EE1"/>
    <w:rsid w:val="2E2312BE"/>
    <w:rsid w:val="2E5A0CB9"/>
    <w:rsid w:val="2E5F5866"/>
    <w:rsid w:val="2E707155"/>
    <w:rsid w:val="2E976A53"/>
    <w:rsid w:val="2F550388"/>
    <w:rsid w:val="2FD652C1"/>
    <w:rsid w:val="30812984"/>
    <w:rsid w:val="308B35E4"/>
    <w:rsid w:val="309A3ADC"/>
    <w:rsid w:val="30C61BCC"/>
    <w:rsid w:val="30FC77ED"/>
    <w:rsid w:val="31416065"/>
    <w:rsid w:val="3179279B"/>
    <w:rsid w:val="319E7EA7"/>
    <w:rsid w:val="31C0486E"/>
    <w:rsid w:val="31C64A2F"/>
    <w:rsid w:val="32BC3287"/>
    <w:rsid w:val="33C76A50"/>
    <w:rsid w:val="33F42D4E"/>
    <w:rsid w:val="34757B91"/>
    <w:rsid w:val="34DC75D1"/>
    <w:rsid w:val="35002E80"/>
    <w:rsid w:val="350C3926"/>
    <w:rsid w:val="350F3F19"/>
    <w:rsid w:val="35577297"/>
    <w:rsid w:val="359C0B95"/>
    <w:rsid w:val="362A675A"/>
    <w:rsid w:val="36525B04"/>
    <w:rsid w:val="36B443CF"/>
    <w:rsid w:val="36DD4462"/>
    <w:rsid w:val="36E428B0"/>
    <w:rsid w:val="372E4027"/>
    <w:rsid w:val="378123A9"/>
    <w:rsid w:val="37AD25EE"/>
    <w:rsid w:val="38134100"/>
    <w:rsid w:val="384F6DEF"/>
    <w:rsid w:val="385545E0"/>
    <w:rsid w:val="39855C4E"/>
    <w:rsid w:val="39877338"/>
    <w:rsid w:val="39F41558"/>
    <w:rsid w:val="3AA77A24"/>
    <w:rsid w:val="3ABE61D1"/>
    <w:rsid w:val="3B180FBF"/>
    <w:rsid w:val="3B694695"/>
    <w:rsid w:val="3B89663D"/>
    <w:rsid w:val="3C8B16D3"/>
    <w:rsid w:val="3CD94326"/>
    <w:rsid w:val="3CF46EDE"/>
    <w:rsid w:val="3D7A2546"/>
    <w:rsid w:val="3DE6611C"/>
    <w:rsid w:val="3DF053E7"/>
    <w:rsid w:val="3E004AC7"/>
    <w:rsid w:val="3E0D0E3B"/>
    <w:rsid w:val="3E291197"/>
    <w:rsid w:val="3E4105E4"/>
    <w:rsid w:val="3E430A34"/>
    <w:rsid w:val="3F1B7587"/>
    <w:rsid w:val="3F4C6CE8"/>
    <w:rsid w:val="3F5551A2"/>
    <w:rsid w:val="40253F3C"/>
    <w:rsid w:val="40D83EF0"/>
    <w:rsid w:val="410719BE"/>
    <w:rsid w:val="41267FF3"/>
    <w:rsid w:val="4134460A"/>
    <w:rsid w:val="422B5D33"/>
    <w:rsid w:val="42711AF6"/>
    <w:rsid w:val="42A866EA"/>
    <w:rsid w:val="42BA2C13"/>
    <w:rsid w:val="42BE5A9B"/>
    <w:rsid w:val="42C83D00"/>
    <w:rsid w:val="42EF5206"/>
    <w:rsid w:val="43671945"/>
    <w:rsid w:val="43D4412E"/>
    <w:rsid w:val="43DF5939"/>
    <w:rsid w:val="43F702CB"/>
    <w:rsid w:val="445F7F16"/>
    <w:rsid w:val="44692B43"/>
    <w:rsid w:val="45165603"/>
    <w:rsid w:val="464B4BB4"/>
    <w:rsid w:val="46560A9A"/>
    <w:rsid w:val="465E7D59"/>
    <w:rsid w:val="472E231C"/>
    <w:rsid w:val="475F022D"/>
    <w:rsid w:val="47DE6C76"/>
    <w:rsid w:val="48933466"/>
    <w:rsid w:val="48CC307C"/>
    <w:rsid w:val="48EF67C5"/>
    <w:rsid w:val="48F53A39"/>
    <w:rsid w:val="49071275"/>
    <w:rsid w:val="493A685C"/>
    <w:rsid w:val="49E52C6C"/>
    <w:rsid w:val="4A1C41B3"/>
    <w:rsid w:val="4B3D0BE3"/>
    <w:rsid w:val="4B496C93"/>
    <w:rsid w:val="4B5A0C2D"/>
    <w:rsid w:val="4B837F21"/>
    <w:rsid w:val="4BDD44AC"/>
    <w:rsid w:val="4C2E4AB4"/>
    <w:rsid w:val="4CA6169E"/>
    <w:rsid w:val="4CD6771E"/>
    <w:rsid w:val="4D096C71"/>
    <w:rsid w:val="4DC332C4"/>
    <w:rsid w:val="4DFD0DB1"/>
    <w:rsid w:val="4E1649CE"/>
    <w:rsid w:val="4E5B4E73"/>
    <w:rsid w:val="4EB255E9"/>
    <w:rsid w:val="4EC217CD"/>
    <w:rsid w:val="4EC820CD"/>
    <w:rsid w:val="4F252466"/>
    <w:rsid w:val="4FA07BB2"/>
    <w:rsid w:val="4FD25A40"/>
    <w:rsid w:val="50B04151"/>
    <w:rsid w:val="50E817D4"/>
    <w:rsid w:val="518C3EDA"/>
    <w:rsid w:val="51D114A3"/>
    <w:rsid w:val="52505342"/>
    <w:rsid w:val="528D3EA0"/>
    <w:rsid w:val="5300613A"/>
    <w:rsid w:val="53083749"/>
    <w:rsid w:val="53236529"/>
    <w:rsid w:val="533662E6"/>
    <w:rsid w:val="53383B95"/>
    <w:rsid w:val="5373474A"/>
    <w:rsid w:val="53C575F0"/>
    <w:rsid w:val="54753EFC"/>
    <w:rsid w:val="55570796"/>
    <w:rsid w:val="558C48E3"/>
    <w:rsid w:val="567F4E31"/>
    <w:rsid w:val="571A0E93"/>
    <w:rsid w:val="57527466"/>
    <w:rsid w:val="585461A0"/>
    <w:rsid w:val="59356580"/>
    <w:rsid w:val="593C7D39"/>
    <w:rsid w:val="5A0B4631"/>
    <w:rsid w:val="5A265C0D"/>
    <w:rsid w:val="5A434DB4"/>
    <w:rsid w:val="5A964900"/>
    <w:rsid w:val="5B27506E"/>
    <w:rsid w:val="5B747CD3"/>
    <w:rsid w:val="5C7F7328"/>
    <w:rsid w:val="5CB121AE"/>
    <w:rsid w:val="5CC07FB9"/>
    <w:rsid w:val="5CC36C06"/>
    <w:rsid w:val="5CDC6150"/>
    <w:rsid w:val="5D1E7A43"/>
    <w:rsid w:val="5DD526DF"/>
    <w:rsid w:val="5E25629E"/>
    <w:rsid w:val="5E6A29D3"/>
    <w:rsid w:val="5EA87070"/>
    <w:rsid w:val="5F01496B"/>
    <w:rsid w:val="5F817E72"/>
    <w:rsid w:val="5FB548DE"/>
    <w:rsid w:val="5FDF108A"/>
    <w:rsid w:val="60261B77"/>
    <w:rsid w:val="603A003B"/>
    <w:rsid w:val="608749AC"/>
    <w:rsid w:val="60F5130F"/>
    <w:rsid w:val="60FB27B1"/>
    <w:rsid w:val="61291238"/>
    <w:rsid w:val="61314591"/>
    <w:rsid w:val="61E82EA1"/>
    <w:rsid w:val="61FB0FB0"/>
    <w:rsid w:val="621217AD"/>
    <w:rsid w:val="626764BC"/>
    <w:rsid w:val="62E07C1F"/>
    <w:rsid w:val="634E4F7A"/>
    <w:rsid w:val="63B97556"/>
    <w:rsid w:val="640C0830"/>
    <w:rsid w:val="647E7622"/>
    <w:rsid w:val="65CE23AE"/>
    <w:rsid w:val="65EB2D7C"/>
    <w:rsid w:val="662F5033"/>
    <w:rsid w:val="663707F6"/>
    <w:rsid w:val="663743F7"/>
    <w:rsid w:val="666E1938"/>
    <w:rsid w:val="667C5A21"/>
    <w:rsid w:val="683B7691"/>
    <w:rsid w:val="689C2C37"/>
    <w:rsid w:val="68FC5484"/>
    <w:rsid w:val="694E0453"/>
    <w:rsid w:val="69586B5E"/>
    <w:rsid w:val="697028A5"/>
    <w:rsid w:val="69740DE3"/>
    <w:rsid w:val="69DE332C"/>
    <w:rsid w:val="6A4454E8"/>
    <w:rsid w:val="6B581098"/>
    <w:rsid w:val="6B6561C1"/>
    <w:rsid w:val="6BC12577"/>
    <w:rsid w:val="6D282CEC"/>
    <w:rsid w:val="6DB419F5"/>
    <w:rsid w:val="6DEC1AE6"/>
    <w:rsid w:val="6DFA4688"/>
    <w:rsid w:val="6EBB48CA"/>
    <w:rsid w:val="6ECF7B5A"/>
    <w:rsid w:val="6F6B4803"/>
    <w:rsid w:val="6F734622"/>
    <w:rsid w:val="70A1703D"/>
    <w:rsid w:val="70EA114F"/>
    <w:rsid w:val="7152589B"/>
    <w:rsid w:val="71DF7078"/>
    <w:rsid w:val="72D43F1C"/>
    <w:rsid w:val="72D55184"/>
    <w:rsid w:val="72E9674E"/>
    <w:rsid w:val="73FC77D8"/>
    <w:rsid w:val="74E874F4"/>
    <w:rsid w:val="754C36EB"/>
    <w:rsid w:val="75EC4704"/>
    <w:rsid w:val="75EF084A"/>
    <w:rsid w:val="75F72A95"/>
    <w:rsid w:val="76155FDD"/>
    <w:rsid w:val="762D5973"/>
    <w:rsid w:val="768F5B89"/>
    <w:rsid w:val="76C42481"/>
    <w:rsid w:val="787E073F"/>
    <w:rsid w:val="7895480B"/>
    <w:rsid w:val="791D779D"/>
    <w:rsid w:val="7A1B4481"/>
    <w:rsid w:val="7ADF79D6"/>
    <w:rsid w:val="7B074386"/>
    <w:rsid w:val="7B711D02"/>
    <w:rsid w:val="7BD24E35"/>
    <w:rsid w:val="7BFF10BB"/>
    <w:rsid w:val="7C016BE2"/>
    <w:rsid w:val="7C0B5CB2"/>
    <w:rsid w:val="7C2C2059"/>
    <w:rsid w:val="7CE02C9B"/>
    <w:rsid w:val="7CE424E0"/>
    <w:rsid w:val="7CE617A9"/>
    <w:rsid w:val="7D553689"/>
    <w:rsid w:val="7D711531"/>
    <w:rsid w:val="7DC6323C"/>
    <w:rsid w:val="7E7C7B14"/>
    <w:rsid w:val="7FA0140D"/>
    <w:rsid w:val="7FF25FB5"/>
    <w:rsid w:val="B7B2A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4">
    <w:name w:val="index 8"/>
    <w:basedOn w:val="1"/>
    <w:next w:val="1"/>
    <w:semiHidden/>
    <w:unhideWhenUsed/>
    <w:qFormat/>
    <w:uiPriority w:val="0"/>
    <w:pPr>
      <w:ind w:left="1400" w:leftChars="1400"/>
    </w:pPr>
  </w:style>
  <w:style w:type="paragraph" w:styleId="5">
    <w:name w:val="annotation text"/>
    <w:basedOn w:val="1"/>
    <w:unhideWhenUsed/>
    <w:qFormat/>
    <w:uiPriority w:val="0"/>
  </w:style>
  <w:style w:type="paragraph" w:styleId="6">
    <w:name w:val="Body Text Indent"/>
    <w:basedOn w:val="1"/>
    <w:qFormat/>
    <w:uiPriority w:val="0"/>
    <w:pPr>
      <w:tabs>
        <w:tab w:val="left" w:pos="0"/>
      </w:tabs>
      <w:spacing w:line="420" w:lineRule="exact"/>
      <w:ind w:firstLine="525"/>
    </w:pPr>
    <w:rPr>
      <w:rFonts w:ascii="仿宋_GB2312" w:hAnsi="Times New Roman" w:eastAsia="仿宋_GB2312"/>
      <w:sz w:val="28"/>
      <w:szCs w:val="20"/>
    </w:rPr>
  </w:style>
  <w:style w:type="paragraph" w:styleId="7">
    <w:name w:val="Plain Text"/>
    <w:basedOn w:val="1"/>
    <w:unhideWhenUsed/>
    <w:qFormat/>
    <w:uiPriority w:val="0"/>
    <w:rPr>
      <w:rFonts w:ascii="宋体" w:hAnsi="Courier New" w:eastAsiaTheme="minorEastAsia" w:cstheme="minorBidi"/>
      <w:szCs w:val="21"/>
    </w:rPr>
  </w:style>
  <w:style w:type="paragraph" w:styleId="8">
    <w:name w:val="Balloon Text"/>
    <w:basedOn w:val="1"/>
    <w:semiHidden/>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2"/>
    <w:basedOn w:val="1"/>
    <w:qFormat/>
    <w:uiPriority w:val="0"/>
    <w:pPr>
      <w:spacing w:line="360" w:lineRule="auto"/>
    </w:pPr>
    <w:rPr>
      <w:sz w:val="24"/>
    </w:rPr>
  </w:style>
  <w:style w:type="paragraph" w:styleId="11">
    <w:name w:val="Normal (Web)"/>
    <w:basedOn w:val="1"/>
    <w:qFormat/>
    <w:uiPriority w:val="0"/>
    <w:pPr>
      <w:jc w:val="left"/>
    </w:pPr>
    <w:rPr>
      <w:rFonts w:ascii="Times New Roman" w:hAnsi="Times New Roman"/>
      <w:kern w:val="0"/>
      <w:sz w:val="24"/>
      <w:szCs w:val="20"/>
    </w:rPr>
  </w:style>
  <w:style w:type="paragraph" w:styleId="12">
    <w:name w:val="Body Text First Indent 2"/>
    <w:basedOn w:val="6"/>
    <w:qFormat/>
    <w:uiPriority w:val="0"/>
    <w:pPr>
      <w:spacing w:line="240" w:lineRule="auto"/>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next w:val="2"/>
    <w:qFormat/>
    <w:uiPriority w:val="0"/>
    <w:pPr>
      <w:adjustRightInd w:val="0"/>
      <w:spacing w:line="420" w:lineRule="atLeast"/>
      <w:jc w:val="left"/>
      <w:textAlignment w:val="baseline"/>
    </w:pPr>
    <w:rPr>
      <w:kern w:val="0"/>
      <w:szCs w:val="20"/>
    </w:rPr>
  </w:style>
  <w:style w:type="paragraph" w:styleId="17">
    <w:name w:val="List Paragraph"/>
    <w:basedOn w:val="1"/>
    <w:qFormat/>
    <w:uiPriority w:val="99"/>
    <w:pPr>
      <w:ind w:firstLine="420" w:firstLineChars="200"/>
    </w:pPr>
  </w:style>
  <w:style w:type="paragraph" w:customStyle="1" w:styleId="18">
    <w:name w:val="样式 左侧:  0 厘米 悬挂缩进: 2.5 字符"/>
    <w:basedOn w:val="1"/>
    <w:qFormat/>
    <w:uiPriority w:val="0"/>
    <w:pPr>
      <w:ind w:left="525" w:hanging="525" w:hangingChars="250"/>
    </w:pPr>
  </w:style>
  <w:style w:type="paragraph" w:customStyle="1" w:styleId="19">
    <w:name w:val="列出段落1"/>
    <w:basedOn w:val="1"/>
    <w:qFormat/>
    <w:uiPriority w:val="34"/>
    <w:pPr>
      <w:ind w:firstLine="420" w:firstLineChars="200"/>
    </w:pPr>
  </w:style>
  <w:style w:type="character" w:customStyle="1" w:styleId="20">
    <w:name w:val="font111"/>
    <w:basedOn w:val="15"/>
    <w:qFormat/>
    <w:uiPriority w:val="0"/>
    <w:rPr>
      <w:rFonts w:ascii="宋体" w:hAnsi="宋体" w:eastAsia="宋体" w:cs="宋体"/>
      <w:b/>
      <w:bCs/>
      <w:color w:val="000000"/>
      <w:sz w:val="22"/>
      <w:szCs w:val="22"/>
      <w:u w:val="none"/>
    </w:rPr>
  </w:style>
  <w:style w:type="character" w:customStyle="1" w:styleId="21">
    <w:name w:val="font131"/>
    <w:basedOn w:val="15"/>
    <w:qFormat/>
    <w:uiPriority w:val="0"/>
    <w:rPr>
      <w:rFonts w:ascii="黑体" w:hAnsi="宋体" w:eastAsia="黑体" w:cs="黑体"/>
      <w:b/>
      <w:bCs/>
      <w:color w:val="000000"/>
      <w:sz w:val="22"/>
      <w:szCs w:val="22"/>
      <w:u w:val="none"/>
    </w:rPr>
  </w:style>
  <w:style w:type="character" w:customStyle="1" w:styleId="22">
    <w:name w:val="font151"/>
    <w:basedOn w:val="15"/>
    <w:qFormat/>
    <w:uiPriority w:val="0"/>
    <w:rPr>
      <w:rFonts w:ascii="宋体" w:hAnsi="宋体" w:eastAsia="宋体" w:cs="宋体"/>
      <w:b/>
      <w:bCs/>
      <w:color w:val="000000"/>
      <w:sz w:val="30"/>
      <w:szCs w:val="30"/>
      <w:u w:val="none"/>
    </w:rPr>
  </w:style>
  <w:style w:type="character" w:customStyle="1" w:styleId="23">
    <w:name w:val="font71"/>
    <w:basedOn w:val="15"/>
    <w:qFormat/>
    <w:uiPriority w:val="0"/>
    <w:rPr>
      <w:rFonts w:ascii="宋体" w:hAnsi="宋体" w:eastAsia="宋体" w:cs="宋体"/>
      <w:color w:val="000000"/>
      <w:sz w:val="22"/>
      <w:szCs w:val="22"/>
      <w:u w:val="none"/>
    </w:rPr>
  </w:style>
  <w:style w:type="character" w:customStyle="1" w:styleId="24">
    <w:name w:val="font121"/>
    <w:basedOn w:val="15"/>
    <w:qFormat/>
    <w:uiPriority w:val="0"/>
    <w:rPr>
      <w:rFonts w:ascii="宋体" w:hAnsi="宋体" w:eastAsia="宋体" w:cs="宋体"/>
      <w:color w:val="000000"/>
      <w:sz w:val="22"/>
      <w:szCs w:val="22"/>
      <w:u w:val="none"/>
    </w:rPr>
  </w:style>
  <w:style w:type="paragraph" w:customStyle="1" w:styleId="25">
    <w:name w:val="Table Paragraph"/>
    <w:basedOn w:val="1"/>
    <w:qFormat/>
    <w:uiPriority w:val="1"/>
    <w:pPr>
      <w:jc w:val="left"/>
    </w:pPr>
    <w:rPr>
      <w:rFonts w:ascii="Calibri" w:hAnsi="Calibri"/>
      <w:kern w:val="0"/>
      <w:sz w:val="22"/>
      <w:szCs w:val="22"/>
      <w:lang w:eastAsia="en-US"/>
    </w:rPr>
  </w:style>
  <w:style w:type="paragraph" w:customStyle="1" w:styleId="26">
    <w:name w:val="null3"/>
    <w:qFormat/>
    <w:uiPriority w:val="0"/>
    <w:rPr>
      <w:rFonts w:hint="eastAsia" w:ascii="Calibri" w:hAnsi="Calibri" w:eastAsia="宋体" w:cs="Times New Roman"/>
      <w:lang w:val="en-US" w:eastAsia="zh-Hans"/>
    </w:rPr>
  </w:style>
  <w:style w:type="character" w:customStyle="1" w:styleId="27">
    <w:name w:val="font21"/>
    <w:basedOn w:val="1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4445</Words>
  <Characters>4586</Characters>
  <Lines>0</Lines>
  <Paragraphs>0</Paragraphs>
  <TotalTime>14</TotalTime>
  <ScaleCrop>false</ScaleCrop>
  <LinksUpToDate>false</LinksUpToDate>
  <CharactersWithSpaces>4687</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2022-12-14T10:12:00Z</dcterms:created>
  <dc:creator>Administrator</dc:creator>
  <cp:lastModifiedBy>珊珊</cp:lastModifiedBy>
  <cp:lastPrinted>2025-11-27T14:12:00Z</cp:lastPrinted>
  <dcterms:modified xsi:type="dcterms:W3CDTF">2025-11-27T14:26:41Z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FFEC99062580EBFE21EF2769EBBF26EC_43</vt:lpwstr>
  </property>
  <property fmtid="{D5CDD505-2E9C-101B-9397-08002B2CF9AE}" pid="4" name="KSOTemplateDocerSaveRecord">
    <vt:lpwstr>eyJoZGlkIjoiNTExN2IzMGY4Y2EwNTk1NjIwNzJlOGQyNDZjNTdiMjAiLCJ1c2VySWQiOiIyNDk5NDY0NDIifQ==</vt:lpwstr>
  </property>
</Properties>
</file>