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FC1C0">
      <w:pPr>
        <w:spacing w:line="640" w:lineRule="exact"/>
        <w:jc w:val="center"/>
        <w:rPr>
          <w:rFonts w:cs="宋体"/>
          <w:b/>
          <w:kern w:val="2"/>
          <w:sz w:val="44"/>
          <w:szCs w:val="44"/>
        </w:rPr>
      </w:pPr>
      <w:r>
        <w:rPr>
          <w:rFonts w:hint="eastAsia" w:cs="宋体"/>
          <w:b/>
          <w:kern w:val="2"/>
          <w:sz w:val="44"/>
          <w:szCs w:val="44"/>
        </w:rPr>
        <w:t xml:space="preserve"> </w:t>
      </w:r>
      <w:r>
        <w:rPr>
          <w:rFonts w:cs="宋体"/>
          <w:b/>
          <w:kern w:val="2"/>
          <w:sz w:val="44"/>
          <w:szCs w:val="44"/>
        </w:rPr>
        <w:t xml:space="preserve">                                                                        </w:t>
      </w:r>
    </w:p>
    <w:p w14:paraId="67F97E04">
      <w:pPr>
        <w:widowControl/>
        <w:adjustRightInd/>
        <w:snapToGrid/>
        <w:spacing w:line="640" w:lineRule="exact"/>
        <w:ind w:firstLine="0" w:firstLineChars="0"/>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公寓品牌建设设计</w:t>
      </w:r>
      <w:r>
        <w:rPr>
          <w:rFonts w:hint="eastAsia" w:cs="宋体"/>
          <w:b/>
          <w:kern w:val="2"/>
          <w:sz w:val="44"/>
          <w:szCs w:val="44"/>
        </w:rPr>
        <w:t>服务</w:t>
      </w:r>
      <w:r>
        <w:rPr>
          <w:rFonts w:hint="eastAsia" w:ascii="方正小标宋简体" w:hAnsi="方正小标宋简体" w:eastAsia="方正小标宋简体" w:cs="方正小标宋简体"/>
          <w:kern w:val="2"/>
          <w:sz w:val="44"/>
          <w:szCs w:val="44"/>
        </w:rPr>
        <w:t>合同</w:t>
      </w:r>
    </w:p>
    <w:p w14:paraId="11D159D8">
      <w:pPr>
        <w:widowControl w:val="0"/>
        <w:adjustRightInd w:val="0"/>
        <w:snapToGrid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合同编号：</w:t>
      </w:r>
    </w:p>
    <w:p w14:paraId="1ACDB5FD">
      <w:pPr>
        <w:widowControl w:val="0"/>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shd w:val="clear" w:color="auto" w:fill="FFFFFF"/>
        </w:rPr>
        <w:t xml:space="preserve">： </w:t>
      </w:r>
    </w:p>
    <w:p w14:paraId="7C6C929E">
      <w:pPr>
        <w:widowControl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7943B1D6">
      <w:pPr>
        <w:widowControl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w:t>
      </w:r>
    </w:p>
    <w:p w14:paraId="5EF7B0E4">
      <w:pPr>
        <w:widowControl w:val="0"/>
        <w:adjustRightInd w:val="0"/>
        <w:snapToGrid w:val="0"/>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地址：  </w:t>
      </w:r>
    </w:p>
    <w:p w14:paraId="65547789">
      <w:pPr>
        <w:widowControl w:val="0"/>
        <w:adjustRightInd w:val="0"/>
        <w:snapToGrid w:val="0"/>
        <w:spacing w:line="560" w:lineRule="exact"/>
        <w:ind w:firstLine="640" w:firstLineChars="200"/>
        <w:rPr>
          <w:rFonts w:ascii="仿宋_GB2312" w:hAnsi="仿宋_GB2312" w:eastAsia="仿宋_GB2312" w:cs="仿宋_GB2312"/>
          <w:sz w:val="32"/>
          <w:szCs w:val="32"/>
        </w:rPr>
      </w:pPr>
    </w:p>
    <w:p w14:paraId="7151A99A">
      <w:pPr>
        <w:widowControl w:val="0"/>
        <w:adjustRightInd w:val="0"/>
        <w:snapToGrid w:val="0"/>
        <w:spacing w:line="560" w:lineRule="exact"/>
        <w:ind w:firstLine="640" w:firstLineChars="200"/>
        <w:rPr>
          <w:rFonts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乙方（服务方）</w:t>
      </w:r>
      <w:r>
        <w:rPr>
          <w:rFonts w:hint="eastAsia" w:ascii="仿宋_GB2312" w:hAnsi="仿宋_GB2312" w:eastAsia="仿宋_GB2312" w:cs="仿宋_GB2312"/>
          <w:sz w:val="32"/>
          <w:szCs w:val="32"/>
          <w:shd w:val="clear" w:color="auto" w:fill="FFFFFF"/>
        </w:rPr>
        <w:t>：</w:t>
      </w:r>
    </w:p>
    <w:p w14:paraId="701AD33E">
      <w:pPr>
        <w:widowControl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74EB21E8">
      <w:pPr>
        <w:widowControl w:val="0"/>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法定</w:t>
      </w:r>
      <w:r>
        <w:rPr>
          <w:rFonts w:hint="eastAsia" w:ascii="仿宋_GB2312" w:hAnsi="仿宋_GB2312" w:eastAsia="仿宋_GB2312" w:cs="仿宋_GB2312"/>
          <w:sz w:val="32"/>
          <w:szCs w:val="32"/>
          <w:shd w:val="clear" w:color="auto" w:fill="FFFFFF"/>
        </w:rPr>
        <w:t>代表人：</w:t>
      </w:r>
    </w:p>
    <w:p w14:paraId="32174B5A">
      <w:pPr>
        <w:widowControl w:val="0"/>
        <w:adjustRightInd w:val="0"/>
        <w:snapToGrid w:val="0"/>
        <w:spacing w:line="560" w:lineRule="exact"/>
        <w:ind w:firstLine="640" w:firstLineChars="200"/>
        <w:rPr>
          <w:rFonts w:ascii="仿宋_GB2312" w:hAnsi="仿宋_GB2312" w:eastAsia="仿宋_GB2312" w:cs="仿宋_GB2312"/>
          <w:sz w:val="32"/>
          <w:szCs w:val="32"/>
          <w:highlight w:val="yellow"/>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w:t>
      </w:r>
    </w:p>
    <w:p w14:paraId="1305884A">
      <w:pPr>
        <w:widowControl w:val="0"/>
        <w:adjustRightInd w:val="0"/>
        <w:snapToGrid w:val="0"/>
        <w:spacing w:line="560" w:lineRule="exact"/>
        <w:ind w:firstLine="480" w:firstLineChars="200"/>
      </w:pPr>
    </w:p>
    <w:p w14:paraId="6F4ADA1C">
      <w:pPr>
        <w:pStyle w:val="15"/>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根据《中华人民共和国民法典》及有关法律、法规规定，甲乙双方在平等互利的原则下，经友好协商，</w:t>
      </w:r>
      <w:r>
        <w:rPr>
          <w:rFonts w:hint="eastAsia" w:ascii="仿宋_GB2312" w:hAnsi="仿宋_GB2312" w:eastAsia="仿宋_GB2312" w:cs="仿宋_GB2312"/>
          <w:color w:val="000000"/>
          <w:sz w:val="32"/>
          <w:szCs w:val="32"/>
        </w:rPr>
        <w:t>就甲方委托乙方整体承办</w:t>
      </w:r>
      <w:r>
        <w:rPr>
          <w:rFonts w:hint="eastAsia" w:ascii="仿宋_GB2312" w:hAnsi="仿宋_GB2312" w:eastAsia="仿宋_GB2312" w:cs="仿宋_GB2312"/>
          <w:color w:val="000000"/>
          <w:sz w:val="32"/>
          <w:szCs w:val="32"/>
          <w:u w:val="single"/>
          <w:lang w:val="en-US" w:eastAsia="zh-CN"/>
        </w:rPr>
        <w:t>公寓品牌建设设计服务</w:t>
      </w:r>
      <w:r>
        <w:rPr>
          <w:rFonts w:hint="eastAsia" w:ascii="仿宋_GB2312" w:hAnsi="仿宋_GB2312" w:eastAsia="仿宋_GB2312" w:cs="仿宋_GB2312"/>
          <w:color w:val="000000"/>
          <w:sz w:val="32"/>
          <w:szCs w:val="32"/>
        </w:rPr>
        <w:t>并支付服务费用事宜，</w:t>
      </w:r>
      <w:r>
        <w:rPr>
          <w:rFonts w:hint="eastAsia" w:ascii="仿宋_GB2312" w:hAnsi="仿宋_GB2312" w:eastAsia="仿宋_GB2312" w:cs="仿宋_GB2312"/>
          <w:kern w:val="2"/>
          <w:sz w:val="32"/>
          <w:szCs w:val="32"/>
        </w:rPr>
        <w:t>订立本合同，以资共同遵守</w:t>
      </w:r>
      <w:r>
        <w:rPr>
          <w:rFonts w:hint="eastAsia" w:ascii="仿宋_GB2312" w:hAnsi="仿宋_GB2312" w:eastAsia="仿宋_GB2312" w:cs="仿宋_GB2312"/>
          <w:color w:val="000000"/>
          <w:sz w:val="32"/>
          <w:szCs w:val="32"/>
        </w:rPr>
        <w:t>。</w:t>
      </w:r>
    </w:p>
    <w:p w14:paraId="308414F1">
      <w:pPr>
        <w:pStyle w:val="7"/>
        <w:widowControl w:val="0"/>
        <w:spacing w:before="0" w:after="0" w:line="560" w:lineRule="atLeas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第一条 承办服务</w:t>
      </w:r>
    </w:p>
    <w:p w14:paraId="4D9BC335">
      <w:pPr>
        <w:pStyle w:val="15"/>
        <w:widowControl w:val="0"/>
        <w:spacing w:before="0" w:beforeAutospacing="0" w:after="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1.基本信息</w:t>
      </w:r>
    </w:p>
    <w:p w14:paraId="40503E00">
      <w:pPr>
        <w:pStyle w:val="15"/>
        <w:widowControl w:val="0"/>
        <w:spacing w:before="0" w:beforeAutospacing="0" w:after="0" w:afterAutospacing="0" w:line="560" w:lineRule="atLeast"/>
        <w:ind w:firstLine="640" w:firstLineChars="200"/>
        <w:jc w:val="both"/>
        <w:rPr>
          <w:rFonts w:ascii="仿宋_GB2312" w:hAnsi="仿宋_GB2312" w:eastAsia="仿宋_GB2312" w:cs="仿宋_GB2312"/>
          <w:b/>
          <w:sz w:val="32"/>
          <w:szCs w:val="32"/>
          <w:u w:val="single"/>
        </w:rPr>
      </w:pP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u w:val="single"/>
          <w:lang w:val="en-US" w:eastAsia="zh-CN"/>
        </w:rPr>
        <w:t>公寓品牌建设设计服务</w:t>
      </w:r>
    </w:p>
    <w:p w14:paraId="1298F0A3">
      <w:pPr>
        <w:overflowPunct w:val="0"/>
        <w:adjustRightInd w:val="0"/>
        <w:snapToGrid w:val="0"/>
        <w:spacing w:line="560" w:lineRule="atLeast"/>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auto"/>
          <w:sz w:val="32"/>
          <w:szCs w:val="32"/>
        </w:rPr>
        <w:t>本合同服务内容为：</w:t>
      </w:r>
    </w:p>
    <w:p w14:paraId="5D932551">
      <w:pPr>
        <w:overflowPunct w:val="0"/>
        <w:adjustRightInd w:val="0"/>
        <w:snapToGrid w:val="0"/>
        <w:spacing w:line="560" w:lineRule="atLeast"/>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（一）品牌基础系统设计：包含品牌名称、品牌标志（Logo）、标准字、标准色、辅助图形等核心要素及其使用规范；</w:t>
      </w:r>
      <w:r>
        <w:rPr>
          <w:rFonts w:hint="default"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（二）品牌应用系统设计：针对公寓门头、接待台、屋顶、侧墙、雨棚、精神堡垒等关键形象空间，提供品牌元素融入的环境设计建议或概念方案；</w:t>
      </w:r>
      <w:r>
        <w:rPr>
          <w:rFonts w:hint="default"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（三）形象IP：品牌吉祥物设计；</w:t>
      </w:r>
      <w:r>
        <w:rPr>
          <w:rFonts w:hint="default"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（四）Slogan设计：设计品牌理念相关宣传口号至少2条；</w:t>
      </w:r>
      <w:r>
        <w:rPr>
          <w:rFonts w:hint="default"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（五）完成品牌名称、Logo、形象IP、Slogan在市监部门的成功注册；提供完整的《品牌视觉识别系统（VIS）手册》（电子版及打印版）及所有设计源文件。</w:t>
      </w:r>
    </w:p>
    <w:p w14:paraId="3A2A4A51">
      <w:pPr>
        <w:overflowPunct w:val="0"/>
        <w:adjustRightInd w:val="0"/>
        <w:snapToGrid w:val="0"/>
        <w:spacing w:line="560" w:lineRule="atLeas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以上设计服务须满足甲方要求</w:t>
      </w:r>
      <w:r>
        <w:rPr>
          <w:rFonts w:hint="eastAsia" w:ascii="仿宋_GB2312" w:hAnsi="仿宋_GB2312" w:eastAsia="仿宋_GB2312" w:cs="仿宋_GB2312"/>
          <w:color w:val="auto"/>
          <w:sz w:val="32"/>
          <w:szCs w:val="32"/>
        </w:rPr>
        <w:t>。</w:t>
      </w:r>
    </w:p>
    <w:p w14:paraId="3E5E8159">
      <w:pPr>
        <w:pStyle w:val="15"/>
        <w:widowControl w:val="0"/>
        <w:numPr>
          <w:ilvl w:val="255"/>
          <w:numId w:val="0"/>
        </w:numPr>
        <w:spacing w:beforeAutospacing="0" w:afterAutospacing="0"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2.服务期</w:t>
      </w:r>
      <w:r>
        <w:rPr>
          <w:rFonts w:hint="eastAsia" w:ascii="仿宋_GB2312" w:hAnsi="仿宋_GB2312" w:eastAsia="仿宋_GB2312" w:cs="仿宋_GB2312"/>
          <w:color w:val="auto"/>
          <w:sz w:val="32"/>
          <w:szCs w:val="32"/>
          <w:lang w:val="en-US" w:eastAsia="zh-CN"/>
        </w:rPr>
        <w:t>30日历天</w:t>
      </w:r>
      <w:r>
        <w:rPr>
          <w:rFonts w:hint="eastAsia" w:ascii="仿宋_GB2312" w:hAnsi="仿宋_GB2312" w:eastAsia="仿宋_GB2312" w:cs="仿宋_GB2312"/>
          <w:color w:val="auto"/>
          <w:sz w:val="32"/>
          <w:szCs w:val="32"/>
        </w:rPr>
        <w:t>，时间具体由甲方通知为准。</w:t>
      </w:r>
    </w:p>
    <w:p w14:paraId="6297E64C">
      <w:pPr>
        <w:pStyle w:val="7"/>
        <w:widowControl w:val="0"/>
        <w:spacing w:before="0" w:after="0" w:line="560" w:lineRule="atLeast"/>
        <w:ind w:firstLine="640" w:firstLineChars="200"/>
        <w:jc w:val="both"/>
        <w:rPr>
          <w:rFonts w:ascii="仿宋_GB2312" w:hAnsi="仿宋_GB2312" w:eastAsia="仿宋_GB2312" w:cs="仿宋_GB2312"/>
          <w:sz w:val="32"/>
          <w:szCs w:val="32"/>
        </w:rPr>
      </w:pPr>
      <w:r>
        <w:rPr>
          <w:rFonts w:hint="eastAsia" w:ascii="黑体" w:hAnsi="黑体" w:eastAsia="黑体" w:cs="黑体"/>
          <w:b w:val="0"/>
          <w:bCs/>
          <w:sz w:val="32"/>
          <w:szCs w:val="32"/>
        </w:rPr>
        <w:t>第二条 服务费用与付款方式</w:t>
      </w:r>
    </w:p>
    <w:p w14:paraId="2C07C5F1">
      <w:pPr>
        <w:pStyle w:val="15"/>
        <w:spacing w:beforeAutospacing="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本合同采用固定总价，</w:t>
      </w:r>
      <w:r>
        <w:rPr>
          <w:rFonts w:hint="eastAsia" w:ascii="仿宋_GB2312" w:hAnsi="仿宋_GB2312" w:eastAsia="仿宋_GB2312" w:cs="仿宋_GB2312"/>
          <w:color w:val="000000"/>
          <w:sz w:val="32"/>
          <w:szCs w:val="32"/>
        </w:rPr>
        <w:t>本合同含税总价为人民币：（大写）；小写：</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sz w:val="32"/>
          <w:szCs w:val="32"/>
        </w:rPr>
        <w:t>。(不含税金额￥</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合同总价包括了乙方为实施和完成本项目合同约定的全部服务工作所需的全部费用，包括但不限于乙方人员工资、社会福利、各种津贴及加班费、技术服务费、现场费用、设备的使用和管理、交通设备的使用和管理、住宿费用、各种管理费、规费、保险、利润和税金等内容，并涵盖所有可能导致乙方工作量或工作时长增加的风险以及乙方履行本合同可能需要承担的所有责任和义务。除本合同另有约定外，合同总价不作任何调整。详细报价构成详见“附件 1:投标报价清单”。</w:t>
      </w:r>
    </w:p>
    <w:p w14:paraId="0852B1C2">
      <w:pPr>
        <w:pStyle w:val="15"/>
        <w:widowControl w:val="0"/>
        <w:spacing w:before="0" w:beforeAutospacing="0" w:after="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2.合同承包方式：固定</w:t>
      </w:r>
      <w:r>
        <w:rPr>
          <w:rFonts w:hint="eastAsia" w:ascii="仿宋_GB2312" w:hAnsi="仿宋_GB2312" w:eastAsia="仿宋_GB2312" w:cs="仿宋_GB2312"/>
          <w:color w:val="000000"/>
          <w:sz w:val="32"/>
          <w:szCs w:val="32"/>
          <w:lang w:val="en-US" w:eastAsia="zh-CN"/>
        </w:rPr>
        <w:t>总</w:t>
      </w:r>
      <w:r>
        <w:rPr>
          <w:rFonts w:hint="eastAsia" w:ascii="仿宋_GB2312" w:hAnsi="仿宋_GB2312" w:eastAsia="仿宋_GB2312" w:cs="仿宋_GB2312"/>
          <w:color w:val="000000"/>
          <w:sz w:val="32"/>
          <w:szCs w:val="32"/>
        </w:rPr>
        <w:t>价。</w:t>
      </w:r>
    </w:p>
    <w:p w14:paraId="0BCF32B7">
      <w:pPr>
        <w:pStyle w:val="15"/>
        <w:numPr>
          <w:ilvl w:val="255"/>
          <w:numId w:val="0"/>
        </w:numPr>
        <w:spacing w:beforeAutospacing="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3.付款方式：</w:t>
      </w:r>
      <w:bookmarkStart w:id="0" w:name="_Hlk173397880"/>
    </w:p>
    <w:p w14:paraId="0D8E5E48">
      <w:pPr>
        <w:pStyle w:val="15"/>
        <w:spacing w:beforeAutospacing="0" w:afterAutospacing="0" w:line="560" w:lineRule="atLeast"/>
        <w:ind w:firstLine="640" w:firstLineChars="200"/>
        <w:jc w:val="both"/>
        <w:rPr>
          <w:rFonts w:ascii="仿宋_GB2312" w:hAnsi="仿宋_GB2312" w:eastAsia="仿宋_GB2312" w:cs="仿宋_GB2312"/>
          <w:color w:val="000000"/>
          <w:sz w:val="32"/>
          <w:szCs w:val="32"/>
        </w:rPr>
      </w:pPr>
      <w:r>
        <w:rPr>
          <w:rFonts w:hint="eastAsia" w:ascii="Times New Roman" w:hAnsi="Times New Roman" w:eastAsia="仿宋_GB2312" w:cs="Times New Roman"/>
          <w:kern w:val="2"/>
          <w:sz w:val="32"/>
          <w:szCs w:val="32"/>
          <w:lang w:val="en-US" w:eastAsia="zh-CN" w:bidi="ar-SA"/>
        </w:rPr>
        <w:t>服务结束经甲方验收完毕后，</w:t>
      </w:r>
      <w:r>
        <w:rPr>
          <w:rFonts w:hint="eastAsia" w:ascii="Times New Roman" w:hAnsi="Times New Roman" w:eastAsia="仿宋_GB2312" w:cs="Times New Roman"/>
          <w:kern w:val="2"/>
          <w:sz w:val="32"/>
          <w:szCs w:val="32"/>
          <w:lang w:val="en-US" w:eastAsia="zh-CN"/>
        </w:rPr>
        <w:t>并收到乙方开具的增值税专用发票后30个工作日内，</w:t>
      </w:r>
      <w:r>
        <w:rPr>
          <w:rFonts w:hint="eastAsia" w:ascii="Times New Roman" w:hAnsi="Times New Roman" w:eastAsia="仿宋_GB2312" w:cs="Times New Roman"/>
          <w:kern w:val="2"/>
          <w:sz w:val="32"/>
          <w:szCs w:val="32"/>
          <w:lang w:val="en-US" w:eastAsia="zh-CN" w:bidi="ar-SA"/>
        </w:rPr>
        <w:t>支付至合同金额的100%</w:t>
      </w:r>
      <w:r>
        <w:rPr>
          <w:rFonts w:hint="eastAsia" w:ascii="仿宋_GB2312" w:hAnsi="仿宋_GB2312" w:eastAsia="仿宋_GB2312" w:cs="仿宋_GB2312"/>
          <w:color w:val="000000"/>
          <w:sz w:val="32"/>
          <w:szCs w:val="32"/>
        </w:rPr>
        <w:t>。</w:t>
      </w:r>
    </w:p>
    <w:bookmarkEnd w:id="0"/>
    <w:p w14:paraId="257C89AC">
      <w:pPr>
        <w:pStyle w:val="15"/>
        <w:spacing w:before="0" w:beforeAutospacing="0" w:after="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4.乙方指定收款账号：</w:t>
      </w:r>
      <w:bookmarkStart w:id="1" w:name="_GoBack"/>
      <w:bookmarkEnd w:id="1"/>
    </w:p>
    <w:p w14:paraId="798CA988">
      <w:pPr>
        <w:pStyle w:val="15"/>
        <w:widowControl w:val="0"/>
        <w:spacing w:before="0" w:beforeAutospacing="0" w:after="0" w:afterAutospacing="0" w:line="560" w:lineRule="atLeas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户名：</w:t>
      </w:r>
      <w:r>
        <w:rPr>
          <w:rFonts w:hint="eastAsia" w:ascii="仿宋_GB2312" w:hAnsi="仿宋_GB2312" w:eastAsia="仿宋_GB2312" w:cs="仿宋_GB2312"/>
          <w:color w:val="000000"/>
          <w:sz w:val="32"/>
          <w:szCs w:val="32"/>
          <w:u w:val="single"/>
          <w:lang w:val="en-US" w:eastAsia="zh-CN"/>
        </w:rPr>
        <w:t xml:space="preserve"> </w:t>
      </w:r>
    </w:p>
    <w:p w14:paraId="2803E986">
      <w:pPr>
        <w:pStyle w:val="15"/>
        <w:widowControl w:val="0"/>
        <w:spacing w:before="0" w:beforeAutospacing="0" w:after="0" w:afterAutospacing="0" w:line="560" w:lineRule="atLeas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single"/>
          <w:lang w:val="en-US" w:eastAsia="zh-CN"/>
        </w:rPr>
        <w:t xml:space="preserve"> </w:t>
      </w:r>
    </w:p>
    <w:p w14:paraId="6F105C85">
      <w:pPr>
        <w:pStyle w:val="15"/>
        <w:widowControl w:val="0"/>
        <w:spacing w:before="0" w:beforeAutospacing="0" w:after="0" w:afterAutospacing="0" w:line="560" w:lineRule="atLeas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lang w:val="en-US" w:eastAsia="zh-CN"/>
        </w:rPr>
        <w:t xml:space="preserve"> </w:t>
      </w:r>
    </w:p>
    <w:p w14:paraId="266B4335">
      <w:pPr>
        <w:pStyle w:val="7"/>
        <w:widowControl w:val="0"/>
        <w:spacing w:before="0" w:after="0" w:line="560" w:lineRule="atLeas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第三条 保密协议</w:t>
      </w:r>
    </w:p>
    <w:p w14:paraId="187B91C6">
      <w:pPr>
        <w:pStyle w:val="15"/>
        <w:numPr>
          <w:ilvl w:val="255"/>
          <w:numId w:val="0"/>
        </w:numPr>
        <w:spacing w:before="0" w:beforeAutospacing="0" w:after="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双方本着相互尊重相互理解的原则，对对方事先声明可以公开的信息之外的所有信息负有保密的义务。对于甲方的商业秘密和其他机密信息，不得在未经对方书面许可的情况下，将相关信息资料透露给第三方或擅自使用。</w:t>
      </w:r>
    </w:p>
    <w:p w14:paraId="189AA137">
      <w:pPr>
        <w:pStyle w:val="15"/>
        <w:spacing w:beforeAutospacing="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2.同时，甲、乙方各自负责其职员的保密义务，如造成泄密，则泄密一方承担其职员泄密责任而给另一方造成的损失的赔偿责任。</w:t>
      </w:r>
    </w:p>
    <w:p w14:paraId="7B528981">
      <w:pPr>
        <w:pStyle w:val="7"/>
        <w:widowControl w:val="0"/>
        <w:spacing w:before="0" w:after="0" w:line="560" w:lineRule="atLeas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第四条 不可抗力</w:t>
      </w:r>
    </w:p>
    <w:p w14:paraId="7EA80222">
      <w:pPr>
        <w:pStyle w:val="15"/>
        <w:spacing w:beforeAutospacing="0" w:afterAutospacing="0"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如遇不可抗力事件时，是指不能预见、不能避免并不能克服的客观情况，包括战争、火灾、封锁、进出口禁运、冰封、台风或台风警报、自然灾祸、国家或政府的征用、符合不可抗力条件的政策调整等，知情方应及时以书面的形式通知对方，告知该事件对本协议可能产生影响，并应当在合理期限内提供相关证明，以减轻可能给对方造成的损失。</w:t>
      </w:r>
    </w:p>
    <w:p w14:paraId="5A0D9830">
      <w:pPr>
        <w:pStyle w:val="15"/>
        <w:spacing w:beforeAutospacing="0" w:afterAutospacing="0"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2.如果乙方由于不可抗力而未能按照本协议规定的方式在本协议规定的时间内完成任务，乙方对于甲方因此而可能招致的损失或损坏不应承担责任（已经产生的权利不受影响）。</w:t>
      </w:r>
    </w:p>
    <w:p w14:paraId="763FFAED">
      <w:pPr>
        <w:pStyle w:val="15"/>
        <w:spacing w:beforeAutospacing="0" w:afterAutospacing="0"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3.不可抗力事件致使本协议不履行或延迟履行，双方互不承担任何违约责任。</w:t>
      </w:r>
    </w:p>
    <w:p w14:paraId="5F1426D9">
      <w:pPr>
        <w:pStyle w:val="7"/>
        <w:widowControl w:val="0"/>
        <w:spacing w:before="0" w:after="0" w:line="560" w:lineRule="atLeas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第五条 项目负责人</w:t>
      </w:r>
    </w:p>
    <w:p w14:paraId="00229E92">
      <w:pPr>
        <w:pStyle w:val="15"/>
        <w:widowControl w:val="0"/>
        <w:spacing w:before="0" w:beforeAutospacing="0" w:after="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1.双方确定如下项目负责人：</w:t>
      </w:r>
    </w:p>
    <w:p w14:paraId="30848FF7">
      <w:pPr>
        <w:pStyle w:val="15"/>
        <w:widowControl w:val="0"/>
        <w:spacing w:before="0" w:beforeAutospacing="0" w:after="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1.1甲方</w:t>
      </w:r>
    </w:p>
    <w:p w14:paraId="51C41ECA">
      <w:pPr>
        <w:pStyle w:val="15"/>
        <w:widowControl w:val="0"/>
        <w:spacing w:before="0" w:beforeAutospacing="0" w:after="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14:paraId="516E06FF">
      <w:pPr>
        <w:pStyle w:val="15"/>
        <w:widowControl w:val="0"/>
        <w:spacing w:before="0" w:beforeAutospacing="0" w:after="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14:paraId="1EC8EB43">
      <w:pPr>
        <w:pStyle w:val="15"/>
        <w:widowControl w:val="0"/>
        <w:spacing w:before="0" w:beforeAutospacing="0" w:after="0" w:afterAutospacing="0" w:line="560" w:lineRule="atLeas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w:t>
      </w:r>
    </w:p>
    <w:p w14:paraId="2CBC464B">
      <w:pPr>
        <w:pStyle w:val="15"/>
        <w:widowControl w:val="0"/>
        <w:spacing w:before="0" w:beforeAutospacing="0" w:after="0" w:afterAutospacing="0" w:line="560" w:lineRule="atLeas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lang w:val="en-US" w:eastAsia="zh-CN"/>
        </w:rPr>
        <w:t xml:space="preserve"> </w:t>
      </w:r>
    </w:p>
    <w:p w14:paraId="3C949999">
      <w:pPr>
        <w:pStyle w:val="15"/>
        <w:widowControl w:val="0"/>
        <w:spacing w:before="0" w:beforeAutospacing="0" w:after="0" w:afterAutospacing="0" w:line="560" w:lineRule="atLeast"/>
        <w:ind w:firstLine="640" w:firstLineChars="200"/>
        <w:jc w:val="both"/>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联系方式：</w:t>
      </w:r>
    </w:p>
    <w:p w14:paraId="2031744F">
      <w:pPr>
        <w:pStyle w:val="15"/>
        <w:widowControl w:val="0"/>
        <w:spacing w:before="0" w:beforeAutospacing="0" w:after="0" w:afterAutospacing="0"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第六条 甲方的权利及义务</w:t>
      </w:r>
    </w:p>
    <w:p w14:paraId="476AAA77">
      <w:pPr>
        <w:pStyle w:val="15"/>
        <w:widowControl w:val="0"/>
        <w:spacing w:beforeAutospacing="0" w:afterAutospacing="0" w:line="560" w:lineRule="exact"/>
        <w:ind w:firstLine="640"/>
        <w:jc w:val="both"/>
        <w:rPr>
          <w:rFonts w:hint="eastAsia" w:ascii="仿宋_GB2312" w:hAnsi="仿宋_GB2312" w:eastAsia="仿宋_GB2312" w:cs="仿宋_GB2312"/>
          <w:color w:val="auto"/>
          <w:sz w:val="32"/>
          <w:szCs w:val="32"/>
          <w:lang w:eastAsia="zh"/>
        </w:rPr>
      </w:pPr>
      <w:r>
        <w:rPr>
          <w:rFonts w:hint="eastAsia" w:ascii="仿宋_GB2312" w:hAnsi="仿宋_GB2312" w:eastAsia="仿宋_GB2312" w:cs="仿宋_GB2312"/>
          <w:color w:val="auto"/>
          <w:sz w:val="32"/>
          <w:szCs w:val="32"/>
        </w:rPr>
        <w:t>1.甲方有权对乙方履行服务相关工作的情况进行检查、督促。</w:t>
      </w:r>
    </w:p>
    <w:p w14:paraId="5131F3A6">
      <w:pPr>
        <w:pStyle w:val="15"/>
        <w:widowControl w:val="0"/>
        <w:spacing w:beforeAutospacing="0" w:afterAutospacing="0" w:line="56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2.甲方应按合同约定向乙方支付</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费用。</w:t>
      </w:r>
    </w:p>
    <w:p w14:paraId="28D17708">
      <w:pPr>
        <w:pStyle w:val="15"/>
        <w:widowControl w:val="0"/>
        <w:spacing w:beforeAutospacing="0" w:afterAutospacing="0" w:line="56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3.甲方应按照乙方提交的工作计划提供相关的支持。</w:t>
      </w:r>
    </w:p>
    <w:p w14:paraId="7F30DB4E">
      <w:pPr>
        <w:pStyle w:val="15"/>
        <w:widowControl w:val="0"/>
        <w:spacing w:beforeAutospacing="0" w:afterAutospacing="0" w:line="56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不符合甲方的工作任务要求、考核标准及甲方其他要求的，甲方有权提出异议并要求乙方限期改正或完成，乙方应于要求的期限内改正或完成，但该行为并不代表甲方放弃追究乙方的违约责任与赔偿责任。</w:t>
      </w:r>
      <w:r>
        <w:rPr>
          <w:rFonts w:hint="eastAsia" w:ascii="仿宋_GB2312" w:hAnsi="仿宋_GB2312" w:eastAsia="仿宋_GB2312" w:cs="仿宋_GB2312"/>
          <w:color w:val="auto"/>
          <w:sz w:val="32"/>
          <w:szCs w:val="32"/>
        </w:rPr>
        <w:t>甲方有权对活动的承办提出具体意见和整改要求，乙方应予配合执行。</w:t>
      </w:r>
    </w:p>
    <w:p w14:paraId="0B20C973">
      <w:pPr>
        <w:pStyle w:val="15"/>
        <w:widowControl w:val="0"/>
        <w:spacing w:beforeAutospacing="0" w:afterAutospacing="0" w:line="56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5.发生因乙方原因导致的任何事故（包括乙方发生意外情况） 时，乙方应当向甲方承担全额赔偿责任，乙方赔偿范围包括但不限于甲方因该事故支出的任何赔偿、补偿、罚款、诉讼费、仲裁费、律师费等；无论甲方是否申报保险，乙方均须先行赔付；如甲方获得保险赔偿，甲方可在与乙方合同届满后在乙方无任何违约的情形下，在甲方实际获得的保险赔偿的额度内无息退回乙方先行赔付款。</w:t>
      </w:r>
    </w:p>
    <w:p w14:paraId="739659D3">
      <w:pPr>
        <w:pStyle w:val="15"/>
        <w:widowControl w:val="0"/>
        <w:spacing w:beforeAutospacing="0" w:afterAutospacing="0" w:line="56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6.甲方有权依据合同及双方约定对乙方服务进行</w:t>
      </w:r>
      <w:r>
        <w:rPr>
          <w:rFonts w:hint="eastAsia" w:ascii="仿宋_GB2312" w:hAnsi="仿宋_GB2312" w:eastAsia="仿宋_GB2312" w:cs="仿宋_GB2312"/>
          <w:color w:val="auto"/>
          <w:sz w:val="32"/>
          <w:szCs w:val="32"/>
          <w:lang w:eastAsia="zh"/>
        </w:rPr>
        <w:t>与</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
        </w:rPr>
        <w:t>。</w:t>
      </w:r>
    </w:p>
    <w:p w14:paraId="1A5C0203">
      <w:pPr>
        <w:pStyle w:val="15"/>
        <w:widowControl w:val="0"/>
        <w:spacing w:before="0" w:beforeAutospacing="0" w:after="0" w:afterAutospacing="0" w:line="560" w:lineRule="atLeast"/>
        <w:ind w:firstLine="640" w:firstLineChars="200"/>
        <w:jc w:val="both"/>
        <w:rPr>
          <w:rFonts w:ascii="黑体" w:hAnsi="黑体" w:eastAsia="黑体" w:cs="黑体"/>
          <w:bCs/>
          <w:sz w:val="32"/>
          <w:szCs w:val="32"/>
        </w:rPr>
      </w:pPr>
      <w:r>
        <w:rPr>
          <w:rFonts w:hint="eastAsia" w:ascii="黑体" w:hAnsi="黑体" w:eastAsia="黑体" w:cs="黑体"/>
          <w:bCs/>
          <w:sz w:val="32"/>
          <w:szCs w:val="32"/>
        </w:rPr>
        <w:t>第七条 乙方的权利及义务</w:t>
      </w:r>
    </w:p>
    <w:p w14:paraId="3E3E5635">
      <w:pPr>
        <w:pStyle w:val="15"/>
        <w:widowControl w:val="0"/>
        <w:spacing w:beforeAutospacing="0" w:after="0" w:afterAutospacing="0" w:line="560" w:lineRule="atLeast"/>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1.乙方有义务按时、按质、按量完成本合同中规定的各项服务内容，乙方提供的各类物料应符合国家规定标准，否则乙方需承担相应的法律责任，因此造成甲方给第三方赔付或受损的，乙方需全额赔偿。</w:t>
      </w:r>
    </w:p>
    <w:p w14:paraId="7356EEA1">
      <w:pPr>
        <w:pStyle w:val="15"/>
        <w:widowControl w:val="0"/>
        <w:spacing w:beforeAutospacing="0" w:after="0" w:afterAutospacing="0" w:line="560" w:lineRule="atLeas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2.乙方有义务对乙方提供服务的人员进行全面监管,乙方需确保并组织全体工作人员按合同约定完成各项服务。</w:t>
      </w:r>
    </w:p>
    <w:p w14:paraId="4D01AB76">
      <w:pPr>
        <w:pStyle w:val="15"/>
        <w:widowControl w:val="0"/>
        <w:spacing w:beforeAutospacing="0" w:after="0" w:afterAutospacing="0" w:line="560" w:lineRule="atLeast"/>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合同履行过程中，如有出现影响活动进行的任何情况，乙方有义务及时向甲方汇报，并依双方商定解决有关问题。乙方在履行合同过程中应当自觉维护甲方形象。</w:t>
      </w:r>
    </w:p>
    <w:p w14:paraId="0AA9AF64">
      <w:pPr>
        <w:pStyle w:val="15"/>
        <w:widowControl w:val="0"/>
        <w:spacing w:beforeAutospacing="0" w:after="0" w:afterAutospacing="0" w:line="560" w:lineRule="atLeas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.乙方对于接触或掌握的甲方的商业资料或文件应负责保密，不得向任何第三人泄露，除用于履行本合同之外，任何时候均不得利用该商业秘密，否则应承担相应的责任。</w:t>
      </w:r>
      <w:r>
        <w:rPr>
          <w:rFonts w:hint="eastAsia" w:ascii="仿宋_GB2312" w:hAnsi="仿宋_GB2312" w:eastAsia="仿宋_GB2312" w:cs="仿宋_GB2312"/>
          <w:color w:val="auto"/>
          <w:sz w:val="32"/>
          <w:szCs w:val="32"/>
          <w:lang w:eastAsia="zh"/>
        </w:rPr>
        <w:t>保密期限为永久</w:t>
      </w:r>
      <w:r>
        <w:rPr>
          <w:rFonts w:hint="eastAsia" w:ascii="仿宋_GB2312" w:hAnsi="仿宋_GB2312" w:eastAsia="仿宋_GB2312" w:cs="仿宋_GB2312"/>
          <w:color w:val="auto"/>
          <w:sz w:val="32"/>
          <w:szCs w:val="32"/>
        </w:rPr>
        <w:t>。</w:t>
      </w:r>
    </w:p>
    <w:p w14:paraId="64531A0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hanging="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rPr>
        <w:t>乙方应按照甲方的需求，提供符合质量标准、时间节点及功能要求的设计服务成果。乙方所提供的设计成果应满足甲方的全部要求、相关法律法规及行业规范。</w:t>
      </w:r>
    </w:p>
    <w:p w14:paraId="10998260">
      <w:pPr>
        <w:pStyle w:val="15"/>
        <w:spacing w:beforeAutospacing="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条 违约责任</w:t>
      </w:r>
    </w:p>
    <w:p w14:paraId="48A7724E">
      <w:pPr>
        <w:pStyle w:val="15"/>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除本合同另有约定外，甲、乙任何一方无权单方面终止合同和变更合同内容；如任何一方在履行合同的过程中需要变更合同内容，应当提前通知另一方并取得对方同意后方可按照变更的内容履行，合同中的相关内容自动失效。单方面终止协议或变更内容的一方将全额赔偿对另一方所有的经济损失。</w:t>
      </w:r>
    </w:p>
    <w:p w14:paraId="4B8A2CEF">
      <w:pPr>
        <w:pStyle w:val="15"/>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2.乙方有下列情形之一的，视为违约，甲方有权要求解除合同、退还甲方支付的服务费用、赔偿经济损失，并要求乙方按照合同价款的</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0%向甲方支付违约金：</w:t>
      </w:r>
    </w:p>
    <w:p w14:paraId="142444BC">
      <w:pPr>
        <w:pStyle w:val="15"/>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2.1乙方违反约定转包承办任务的；</w:t>
      </w:r>
    </w:p>
    <w:p w14:paraId="27C04397">
      <w:pPr>
        <w:pStyle w:val="15"/>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由于乙方的原因，造成人身损害事故的；</w:t>
      </w:r>
    </w:p>
    <w:p w14:paraId="735614D7">
      <w:pPr>
        <w:pStyle w:val="15"/>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乙方违规向甲方人员行贿的；</w:t>
      </w:r>
    </w:p>
    <w:p w14:paraId="0B9DA9C3">
      <w:pPr>
        <w:pStyle w:val="15"/>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其他因乙方原因导致本合同解除的情形。</w:t>
      </w:r>
    </w:p>
    <w:p w14:paraId="56FF64A3">
      <w:pPr>
        <w:pStyle w:val="15"/>
        <w:spacing w:beforeAutospacing="0" w:afterAutospacing="0" w:line="560" w:lineRule="exact"/>
        <w:ind w:firstLine="640"/>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条 知识产权</w:t>
      </w:r>
    </w:p>
    <w:p w14:paraId="4B1FC4BD">
      <w:pPr>
        <w:pStyle w:val="15"/>
        <w:widowControl w:val="0"/>
        <w:spacing w:before="0" w:beforeAutospacing="0" w:after="0" w:afterAutospacing="0" w:line="560" w:lineRule="exact"/>
        <w:ind w:firstLine="64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kern w:val="0"/>
          <w:sz w:val="32"/>
          <w:szCs w:val="32"/>
          <w:lang w:val="en-US" w:eastAsia="zh-CN" w:bidi="ar"/>
        </w:rPr>
        <w:t>由甲方提供给乙方的所有资料、文件、图纸等，均被视为保密，不得泄露给除甲方之外的人任何人、公司和其他单位，无论本合同因何种原因终止，本条款均一直有效，对乙方有约束力。如乙方违反此条款，甲方随时有权就此要求做出相关赔偿。</w:t>
      </w:r>
    </w:p>
    <w:p w14:paraId="5A6ED882">
      <w:pPr>
        <w:pStyle w:val="15"/>
        <w:widowControl w:val="0"/>
        <w:spacing w:before="0" w:beforeAutospacing="0" w:after="0" w:afterAutospacing="0" w:line="560" w:lineRule="exact"/>
        <w:ind w:firstLine="64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
        </w:rPr>
        <w:t>本合同项下所形成的服务成果的知识产权和所有权均无条件归甲方单独所有。</w:t>
      </w:r>
    </w:p>
    <w:p w14:paraId="1451ED5A">
      <w:pPr>
        <w:pStyle w:val="15"/>
        <w:widowControl w:val="0"/>
        <w:spacing w:before="0" w:beforeAutospacing="0" w:after="0" w:afterAutospacing="0" w:line="560" w:lineRule="exact"/>
        <w:ind w:firstLine="64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
        </w:rPr>
        <w:t>未经甲方同意，乙方不得将本项目的制作资料及项目工作成果、设计作品擅自修改、复制、向第三方转让、泄露或用于本合同项目外的项目，如发生以上情况，乙方须承担一切由此引起的后果并承担赔偿责任。但乙方可将其设计作品和项目成品参与公益、专业、行业或媒介组织的竞赛评比、出版发表以及品牌宣传、公司简介等事项。</w:t>
      </w:r>
    </w:p>
    <w:p w14:paraId="223CDDE6">
      <w:pPr>
        <w:pStyle w:val="15"/>
        <w:widowControl w:val="0"/>
        <w:spacing w:before="0" w:beforeAutospacing="0" w:after="0" w:afterAutospacing="0" w:line="560" w:lineRule="exact"/>
        <w:ind w:firstLine="64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
        </w:rPr>
        <w:t>乙方应确保其为完成甲方委托事项而使用的任何资料及所完成的工作成果不会侵权，如乙方有使用第三方资料及成果，应保证已得到权利人许可和授权。乙方进一步保证，甲方不会因拥有或使用、或授权他人使用本合同项下的任何产品知识产权而构成侵权、被指控侵权和/或索赔，否则，因此造成的所有损失由乙方承担，包括但不限于甲方因此产生的律师费、诉讼费、向第三方支付任何费用。</w:t>
      </w:r>
    </w:p>
    <w:p w14:paraId="43EE630F">
      <w:pPr>
        <w:pStyle w:val="15"/>
        <w:widowControl w:val="0"/>
        <w:spacing w:before="0" w:beforeAutospacing="0" w:after="0" w:afterAutospacing="0" w:line="560" w:lineRule="exact"/>
        <w:ind w:firstLine="64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
        </w:rPr>
        <w:t>当出现任何第三方侵犯此项目成品的知识产权时，如甲方主张维权，乙方应给予必要配合与支持，维权的所有费用和收益由甲方自行承担和享有。如乙方主张维权，乙方有权根据本条款以甲方名义进行维权，甲方应给予必要配合，维权的所有费用由乙方自行承担，收益由甲方和乙方协商共同享有。</w:t>
      </w:r>
    </w:p>
    <w:p w14:paraId="408D32D1">
      <w:pPr>
        <w:pStyle w:val="15"/>
        <w:widowControl w:val="0"/>
        <w:spacing w:before="0" w:beforeAutospacing="0" w:after="0" w:afterAutospacing="0" w:line="560" w:lineRule="exact"/>
        <w:ind w:firstLine="640"/>
        <w:jc w:val="both"/>
        <w:rPr>
          <w:rFonts w:hint="eastAsia" w:ascii="黑体" w:hAnsi="黑体" w:eastAsia="黑体" w:cs="黑体"/>
          <w:bCs/>
          <w:kern w:val="0"/>
          <w:sz w:val="32"/>
          <w:szCs w:val="32"/>
          <w:lang w:val="en-US" w:eastAsia="zh-CN" w:bidi="ar"/>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
        </w:rPr>
        <w:t>知识产权条款具有独立性，不受本合同的终止或解除的影响，合同终止或解除后继续有效。</w:t>
      </w:r>
    </w:p>
    <w:p w14:paraId="2D8907B9">
      <w:pPr>
        <w:pStyle w:val="7"/>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条 反商业贿赂</w:t>
      </w:r>
    </w:p>
    <w:p w14:paraId="150BFA4C">
      <w:pPr>
        <w:keepNext w:val="0"/>
        <w:pageBreakBefore w:val="0"/>
        <w:widowControl w:val="0"/>
        <w:kinsoku/>
        <w:overflowPunct/>
        <w:topLinePunct w:val="0"/>
        <w:autoSpaceDE/>
        <w:autoSpaceDN/>
        <w:bidi w:val="0"/>
        <w:spacing w:line="560" w:lineRule="exact"/>
        <w:ind w:firstLine="640" w:firstLineChars="200"/>
        <w:jc w:val="both"/>
        <w:textAlignment w:val="auto"/>
      </w:pPr>
      <w:r>
        <w:rPr>
          <w:rFonts w:hint="eastAsia" w:ascii="仿宋_GB2312" w:hAnsi="仿宋_GB2312" w:eastAsia="仿宋_GB2312" w:cs="仿宋_GB2312"/>
          <w:kern w:val="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41C5103B">
      <w:pPr>
        <w:pStyle w:val="7"/>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color w:val="auto"/>
          <w:sz w:val="32"/>
          <w:szCs w:val="32"/>
        </w:rPr>
        <w:t>第</w:t>
      </w:r>
      <w:r>
        <w:rPr>
          <w:rFonts w:hint="eastAsia" w:ascii="黑体" w:hAnsi="黑体" w:eastAsia="黑体" w:cs="黑体"/>
          <w:b w:val="0"/>
          <w:color w:val="auto"/>
          <w:sz w:val="32"/>
          <w:szCs w:val="32"/>
          <w:lang w:val="en-US" w:eastAsia="zh-CN"/>
        </w:rPr>
        <w:t>十一</w:t>
      </w:r>
      <w:r>
        <w:rPr>
          <w:rFonts w:hint="eastAsia" w:ascii="黑体" w:hAnsi="黑体" w:eastAsia="黑体" w:cs="黑体"/>
          <w:b w:val="0"/>
          <w:color w:val="auto"/>
          <w:sz w:val="32"/>
          <w:szCs w:val="32"/>
        </w:rPr>
        <w:t>条 争议解决</w:t>
      </w:r>
    </w:p>
    <w:p w14:paraId="72E4DD8F">
      <w:pPr>
        <w:pStyle w:val="15"/>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因本合同以及本合同项下订单/附件/补充协议等（如有）引起或有关的任何争议，双方应本着互信的原则协商解决，协商不成双方均有权向甲方所在地有管辖权的人民法院提起诉讼。</w:t>
      </w:r>
    </w:p>
    <w:p w14:paraId="6435BF63">
      <w:pPr>
        <w:pStyle w:val="7"/>
        <w:widowControl w:val="0"/>
        <w:spacing w:before="0" w:after="0" w:line="560" w:lineRule="exact"/>
        <w:ind w:firstLine="640" w:firstLineChars="200"/>
        <w:jc w:val="both"/>
        <w:rPr>
          <w:rFonts w:ascii="黑体" w:hAnsi="黑体" w:eastAsia="黑体" w:cs="黑体"/>
          <w:b w:val="0"/>
          <w:color w:val="auto"/>
          <w:sz w:val="32"/>
          <w:szCs w:val="32"/>
        </w:rPr>
      </w:pPr>
      <w:r>
        <w:rPr>
          <w:rFonts w:hint="eastAsia" w:ascii="黑体" w:hAnsi="黑体" w:eastAsia="黑体" w:cs="黑体"/>
          <w:b w:val="0"/>
          <w:color w:val="auto"/>
          <w:sz w:val="32"/>
          <w:szCs w:val="32"/>
        </w:rPr>
        <w:t>第十</w:t>
      </w:r>
      <w:r>
        <w:rPr>
          <w:rFonts w:hint="eastAsia" w:ascii="黑体" w:hAnsi="黑体" w:eastAsia="黑体" w:cs="黑体"/>
          <w:b w:val="0"/>
          <w:color w:val="auto"/>
          <w:sz w:val="32"/>
          <w:szCs w:val="32"/>
          <w:lang w:val="en-US" w:eastAsia="zh-CN"/>
        </w:rPr>
        <w:t>二</w:t>
      </w:r>
      <w:r>
        <w:rPr>
          <w:rFonts w:hint="eastAsia" w:ascii="黑体" w:hAnsi="黑体" w:eastAsia="黑体" w:cs="黑体"/>
          <w:b w:val="0"/>
          <w:color w:val="auto"/>
          <w:sz w:val="32"/>
          <w:szCs w:val="32"/>
        </w:rPr>
        <w:t>条 附则</w:t>
      </w:r>
    </w:p>
    <w:p w14:paraId="4F9CC8B2">
      <w:pPr>
        <w:pStyle w:val="15"/>
        <w:widowControl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14:paraId="35761C57">
      <w:pPr>
        <w:widowControl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2.本合同未尽事宜双方可协商另行签订补充协议，补充协议与本合同具有同等法律效力。</w:t>
      </w:r>
    </w:p>
    <w:p w14:paraId="20B0E05A">
      <w:pPr>
        <w:pStyle w:val="15"/>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3.本合同包含如下附件：</w:t>
      </w:r>
      <w:r>
        <w:rPr>
          <w:rFonts w:hint="eastAsia" w:ascii="仿宋_GB2312" w:hAnsi="仿宋_GB2312" w:eastAsia="仿宋_GB2312" w:cs="仿宋_GB2312"/>
          <w:color w:val="000000"/>
          <w:sz w:val="32"/>
          <w:szCs w:val="32"/>
          <w:u w:val="single"/>
        </w:rPr>
        <w:t>报价清单。</w:t>
      </w:r>
    </w:p>
    <w:p w14:paraId="6E011856">
      <w:pPr>
        <w:pStyle w:val="15"/>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上述附件是本合同的一部分，具有与本合同同等的法律效力。</w:t>
      </w:r>
    </w:p>
    <w:p w14:paraId="06541A8A">
      <w:pPr>
        <w:pStyle w:val="15"/>
        <w:widowControl w:val="0"/>
        <w:spacing w:before="0" w:beforeAutospacing="0" w:after="0" w:afterAutospacing="0" w:line="560" w:lineRule="exact"/>
        <w:ind w:firstLine="624"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szCs w:val="32"/>
        </w:rPr>
        <w:t>4.本合同经双方法定代表人或授权代表签署并加盖单位公章后生效</w:t>
      </w:r>
      <w:r>
        <w:rPr>
          <w:rFonts w:hint="eastAsia" w:ascii="仿宋_GB2312" w:hAnsi="仿宋_GB2312" w:eastAsia="仿宋_GB2312" w:cs="仿宋_GB2312"/>
          <w:color w:val="000000"/>
          <w:sz w:val="32"/>
          <w:szCs w:val="32"/>
        </w:rPr>
        <w:t>。</w:t>
      </w:r>
    </w:p>
    <w:p w14:paraId="0E55829D">
      <w:pPr>
        <w:pStyle w:val="15"/>
        <w:widowControl w:val="0"/>
        <w:spacing w:before="0" w:beforeAutospacing="0" w:after="0" w:afterAutospacing="0" w:line="560" w:lineRule="exact"/>
        <w:ind w:firstLine="640" w:firstLineChars="200"/>
        <w:jc w:val="center"/>
        <w:rPr>
          <w:rFonts w:ascii="仿宋_GB2312" w:hAnsi="仿宋_GB2312" w:eastAsia="仿宋_GB2312" w:cs="仿宋_GB2312"/>
          <w:color w:val="000000"/>
          <w:sz w:val="32"/>
          <w:szCs w:val="32"/>
        </w:rPr>
      </w:pPr>
    </w:p>
    <w:p w14:paraId="5CF33E50">
      <w:pPr>
        <w:pStyle w:val="15"/>
        <w:widowControl w:val="0"/>
        <w:spacing w:before="0" w:beforeAutospacing="0" w:after="0" w:afterAutospacing="0" w:line="560" w:lineRule="exact"/>
        <w:ind w:firstLine="640" w:firstLineChars="200"/>
        <w:jc w:val="center"/>
        <w:rPr>
          <w:rFonts w:ascii="仿宋_GB2312" w:hAnsi="仿宋_GB2312" w:eastAsia="仿宋_GB2312" w:cs="仿宋_GB2312"/>
          <w:color w:val="000000"/>
          <w:sz w:val="32"/>
          <w:szCs w:val="32"/>
        </w:rPr>
      </w:pPr>
    </w:p>
    <w:p w14:paraId="3CDF7626">
      <w:pPr>
        <w:pStyle w:val="15"/>
        <w:widowControl w:val="0"/>
        <w:spacing w:before="0" w:beforeAutospacing="0" w:after="0" w:afterAutospacing="0" w:line="560" w:lineRule="exact"/>
        <w:ind w:firstLine="640" w:firstLineChars="200"/>
        <w:jc w:val="center"/>
        <w:rPr>
          <w:rFonts w:ascii="仿宋_GB2312" w:hAnsi="仿宋_GB2312" w:eastAsia="仿宋_GB2312" w:cs="仿宋_GB2312"/>
          <w:color w:val="000000"/>
          <w:sz w:val="32"/>
          <w:szCs w:val="32"/>
        </w:rPr>
      </w:pPr>
    </w:p>
    <w:p w14:paraId="2FEABFE1">
      <w:pPr>
        <w:rPr>
          <w:rFonts w:ascii="仿宋_GB2312" w:hAnsi="仿宋_GB2312" w:eastAsia="仿宋_GB2312" w:cs="仿宋_GB2312"/>
          <w:szCs w:val="32"/>
        </w:rPr>
      </w:pPr>
    </w:p>
    <w:p w14:paraId="3733116F">
      <w:pPr>
        <w:pStyle w:val="22"/>
        <w:rPr>
          <w:rFonts w:ascii="仿宋_GB2312" w:hAnsi="仿宋_GB2312" w:eastAsia="仿宋_GB2312" w:cs="仿宋_GB2312"/>
          <w:szCs w:val="32"/>
        </w:rPr>
      </w:pPr>
    </w:p>
    <w:p w14:paraId="4ACB985E">
      <w:pPr>
        <w:pStyle w:val="23"/>
        <w:rPr>
          <w:rFonts w:ascii="仿宋_GB2312" w:hAnsi="仿宋_GB2312" w:eastAsia="仿宋_GB2312" w:cs="仿宋_GB2312"/>
          <w:szCs w:val="32"/>
        </w:rPr>
      </w:pPr>
    </w:p>
    <w:p w14:paraId="3D781773">
      <w:pPr>
        <w:pStyle w:val="23"/>
        <w:rPr>
          <w:rFonts w:ascii="仿宋_GB2312" w:hAnsi="仿宋_GB2312" w:eastAsia="仿宋_GB2312" w:cs="仿宋_GB2312"/>
          <w:szCs w:val="32"/>
        </w:rPr>
      </w:pPr>
    </w:p>
    <w:p w14:paraId="7F75322B">
      <w:pPr>
        <w:pStyle w:val="23"/>
        <w:rPr>
          <w:rFonts w:ascii="仿宋_GB2312" w:hAnsi="仿宋_GB2312" w:eastAsia="仿宋_GB2312" w:cs="仿宋_GB2312"/>
          <w:szCs w:val="32"/>
        </w:rPr>
      </w:pPr>
    </w:p>
    <w:tbl>
      <w:tblPr>
        <w:tblStyle w:val="17"/>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5A20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425C83D">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tc>
        <w:tc>
          <w:tcPr>
            <w:tcW w:w="4585" w:type="dxa"/>
          </w:tcPr>
          <w:p w14:paraId="1080E876">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tc>
      </w:tr>
      <w:tr w14:paraId="59A5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032FA415">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357173E1">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tcPr>
          <w:p w14:paraId="0421F2ED">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6904D0E2">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r>
      <w:tr w14:paraId="5EED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71E24DD">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4585" w:type="dxa"/>
          </w:tcPr>
          <w:p w14:paraId="746C6FAB">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r>
      <w:tr w14:paraId="365B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512D6082">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4585" w:type="dxa"/>
          </w:tcPr>
          <w:p w14:paraId="0FD66BFD">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r>
      <w:tr w14:paraId="2165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9EECB80">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4585" w:type="dxa"/>
          </w:tcPr>
          <w:p w14:paraId="233DD93F">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r>
      <w:tr w14:paraId="5C58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52FD81D">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p>
        </w:tc>
        <w:tc>
          <w:tcPr>
            <w:tcW w:w="4585" w:type="dxa"/>
          </w:tcPr>
          <w:p w14:paraId="4B4080DC">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p>
        </w:tc>
      </w:tr>
      <w:tr w14:paraId="59CA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55D703EF">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tc>
      </w:tr>
    </w:tbl>
    <w:p w14:paraId="78408A95">
      <w:pPr>
        <w:pStyle w:val="15"/>
        <w:widowControl w:val="0"/>
        <w:rPr>
          <w:rFonts w:ascii="仿宋_GB2312" w:hAnsi="仿宋_GB2312" w:eastAsia="仿宋_GB2312" w:cs="仿宋_GB2312"/>
          <w:b/>
          <w:color w:val="000000"/>
          <w:sz w:val="32"/>
          <w:szCs w:val="32"/>
        </w:rPr>
      </w:pPr>
    </w:p>
    <w:p w14:paraId="1CC6647D">
      <w:pPr>
        <w:pStyle w:val="15"/>
        <w:widowControl w:val="0"/>
        <w:rPr>
          <w:rFonts w:hint="eastAsia" w:ascii="宋体" w:hAnsi="宋体" w:eastAsia="宋体" w:cs="宋体"/>
          <w:b/>
          <w:bCs/>
          <w:color w:val="auto"/>
          <w:sz w:val="24"/>
          <w:szCs w:val="24"/>
          <w:highlight w:val="none"/>
          <w:lang w:val="zh-CN"/>
        </w:rPr>
      </w:pPr>
    </w:p>
    <w:p w14:paraId="44695498">
      <w:pPr>
        <w:pStyle w:val="15"/>
        <w:widowControl w:val="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附件：</w:t>
      </w: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zh-CN"/>
        </w:rPr>
        <w:t>验收</w:t>
      </w:r>
      <w:r>
        <w:rPr>
          <w:rFonts w:hint="eastAsia" w:ascii="宋体" w:hAnsi="宋体" w:eastAsia="宋体" w:cs="宋体"/>
          <w:b/>
          <w:bCs/>
          <w:color w:val="auto"/>
          <w:sz w:val="24"/>
          <w:szCs w:val="24"/>
          <w:highlight w:val="none"/>
        </w:rPr>
        <w:t>单</w:t>
      </w:r>
      <w:r>
        <w:rPr>
          <w:rFonts w:hint="eastAsia" w:ascii="宋体" w:hAnsi="宋体" w:eastAsia="宋体" w:cs="宋体"/>
          <w:b/>
          <w:bCs/>
          <w:color w:val="auto"/>
          <w:sz w:val="24"/>
          <w:szCs w:val="24"/>
          <w:highlight w:val="none"/>
          <w:lang w:val="zh-CN"/>
        </w:rPr>
        <w:t>样式</w:t>
      </w:r>
    </w:p>
    <w:p w14:paraId="1D024E66">
      <w:pPr>
        <w:pStyle w:val="15"/>
        <w:widowControl w:val="0"/>
        <w:rPr>
          <w:rFonts w:hint="eastAsia" w:ascii="宋体" w:hAnsi="宋体" w:eastAsia="宋体" w:cs="宋体"/>
          <w:b/>
          <w:bCs/>
          <w:color w:val="auto"/>
          <w:sz w:val="24"/>
          <w:szCs w:val="24"/>
          <w:highlight w:val="none"/>
          <w:lang w:val="zh-CN"/>
        </w:rPr>
      </w:pPr>
      <w:r>
        <w:drawing>
          <wp:inline distT="0" distB="0" distL="114300" distR="114300">
            <wp:extent cx="5602605" cy="3455670"/>
            <wp:effectExtent l="0" t="0" r="1714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602605" cy="3455670"/>
                    </a:xfrm>
                    <a:prstGeom prst="rect">
                      <a:avLst/>
                    </a:prstGeom>
                    <a:noFill/>
                    <a:ln>
                      <a:noFill/>
                    </a:ln>
                  </pic:spPr>
                </pic:pic>
              </a:graphicData>
            </a:graphic>
          </wp:inline>
        </w:drawing>
      </w:r>
    </w:p>
    <w:sectPr>
      <w:footerReference r:id="rId3" w:type="default"/>
      <w:pgSz w:w="11895" w:h="16845"/>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imfang">
    <w:altName w:val="Times New Roman"/>
    <w:panose1 w:val="00000000000000000000"/>
    <w:charset w:val="00"/>
    <w:family w:val="auto"/>
    <w:pitch w:val="default"/>
    <w:sig w:usb0="00000000" w:usb1="00000000" w:usb2="00000000" w:usb3="00000000" w:csb0="00000000" w:csb1="00000000"/>
  </w:font>
  <w:font w:name="Msyh">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8F90">
    <w:pPr>
      <w:jc w:val="center"/>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57DC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257DC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659A1"/>
    <w:multiLevelType w:val="multilevel"/>
    <w:tmpl w:val="BB0659A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iM2RmYzlhMWE0Yjg0MzFlMDBmMzMyMTE1ZDZhMDgifQ=="/>
    <w:docVar w:name="KSO_WPS_MARK_KEY" w:val="1a5894ea-c167-4b24-9321-483df334b129"/>
  </w:docVars>
  <w:rsids>
    <w:rsidRoot w:val="00172A27"/>
    <w:rsid w:val="00034077"/>
    <w:rsid w:val="0014384E"/>
    <w:rsid w:val="00172A27"/>
    <w:rsid w:val="001F39B9"/>
    <w:rsid w:val="003E768C"/>
    <w:rsid w:val="00451710"/>
    <w:rsid w:val="00490E38"/>
    <w:rsid w:val="004E0863"/>
    <w:rsid w:val="005F54FB"/>
    <w:rsid w:val="008C4BDC"/>
    <w:rsid w:val="00913352"/>
    <w:rsid w:val="00930F93"/>
    <w:rsid w:val="00B05414"/>
    <w:rsid w:val="00BC0870"/>
    <w:rsid w:val="00BE56A4"/>
    <w:rsid w:val="00D8215E"/>
    <w:rsid w:val="00E7216C"/>
    <w:rsid w:val="00F152CC"/>
    <w:rsid w:val="03832B01"/>
    <w:rsid w:val="04854128"/>
    <w:rsid w:val="05AB7ABE"/>
    <w:rsid w:val="068C3D4C"/>
    <w:rsid w:val="070638E3"/>
    <w:rsid w:val="072621AA"/>
    <w:rsid w:val="08A22BBA"/>
    <w:rsid w:val="0AF03DF2"/>
    <w:rsid w:val="0B082A4D"/>
    <w:rsid w:val="0C276F5F"/>
    <w:rsid w:val="0C726E2A"/>
    <w:rsid w:val="0D5A4DF7"/>
    <w:rsid w:val="0DED2A1E"/>
    <w:rsid w:val="0EFD7A26"/>
    <w:rsid w:val="11661C41"/>
    <w:rsid w:val="11BA45AC"/>
    <w:rsid w:val="11BC1B28"/>
    <w:rsid w:val="11CC4525"/>
    <w:rsid w:val="14B964D5"/>
    <w:rsid w:val="14EE06E6"/>
    <w:rsid w:val="14FA1F7A"/>
    <w:rsid w:val="1A206975"/>
    <w:rsid w:val="1E2C658F"/>
    <w:rsid w:val="1E917E41"/>
    <w:rsid w:val="1EF4A200"/>
    <w:rsid w:val="1FDF5BD2"/>
    <w:rsid w:val="203327BF"/>
    <w:rsid w:val="20510493"/>
    <w:rsid w:val="22A75E85"/>
    <w:rsid w:val="25602D5E"/>
    <w:rsid w:val="26185D90"/>
    <w:rsid w:val="26314602"/>
    <w:rsid w:val="265C5F3E"/>
    <w:rsid w:val="2B02634F"/>
    <w:rsid w:val="2B1D22CA"/>
    <w:rsid w:val="2E114AFB"/>
    <w:rsid w:val="341C4CAB"/>
    <w:rsid w:val="34BB7FA3"/>
    <w:rsid w:val="352C0A38"/>
    <w:rsid w:val="36AC72C3"/>
    <w:rsid w:val="36D52E06"/>
    <w:rsid w:val="36FE8831"/>
    <w:rsid w:val="38A36879"/>
    <w:rsid w:val="38DF267B"/>
    <w:rsid w:val="39BA1BA2"/>
    <w:rsid w:val="3A7C154E"/>
    <w:rsid w:val="3A997844"/>
    <w:rsid w:val="3B4F5379"/>
    <w:rsid w:val="3C6F5636"/>
    <w:rsid w:val="3D0361CD"/>
    <w:rsid w:val="3DA07F0F"/>
    <w:rsid w:val="3E3FE409"/>
    <w:rsid w:val="3FD43FD8"/>
    <w:rsid w:val="404A2665"/>
    <w:rsid w:val="407627A6"/>
    <w:rsid w:val="41166258"/>
    <w:rsid w:val="42057ABF"/>
    <w:rsid w:val="43AD401F"/>
    <w:rsid w:val="471A1ED2"/>
    <w:rsid w:val="4763732D"/>
    <w:rsid w:val="47F5623E"/>
    <w:rsid w:val="485F2B7D"/>
    <w:rsid w:val="4B58750F"/>
    <w:rsid w:val="4BF91035"/>
    <w:rsid w:val="4EE82F3C"/>
    <w:rsid w:val="4F240BED"/>
    <w:rsid w:val="4FEF7931"/>
    <w:rsid w:val="50AC601E"/>
    <w:rsid w:val="5333510A"/>
    <w:rsid w:val="533407C0"/>
    <w:rsid w:val="54BF0519"/>
    <w:rsid w:val="56B07C8F"/>
    <w:rsid w:val="57AE372B"/>
    <w:rsid w:val="59292657"/>
    <w:rsid w:val="5B2B2654"/>
    <w:rsid w:val="5D207CD9"/>
    <w:rsid w:val="5D2B606A"/>
    <w:rsid w:val="5D630DD9"/>
    <w:rsid w:val="5ED302A0"/>
    <w:rsid w:val="5EDF40B0"/>
    <w:rsid w:val="5EFC277D"/>
    <w:rsid w:val="5FE9DEEF"/>
    <w:rsid w:val="5FFFFB21"/>
    <w:rsid w:val="61592157"/>
    <w:rsid w:val="618943CD"/>
    <w:rsid w:val="61A9658D"/>
    <w:rsid w:val="62894684"/>
    <w:rsid w:val="64A75526"/>
    <w:rsid w:val="65326E96"/>
    <w:rsid w:val="654372C6"/>
    <w:rsid w:val="65E923D3"/>
    <w:rsid w:val="6789B391"/>
    <w:rsid w:val="68360A1D"/>
    <w:rsid w:val="69B0713D"/>
    <w:rsid w:val="6AAC3C13"/>
    <w:rsid w:val="6B677032"/>
    <w:rsid w:val="6E100A21"/>
    <w:rsid w:val="6ECD0DD4"/>
    <w:rsid w:val="6F0D5441"/>
    <w:rsid w:val="6F3B6E8A"/>
    <w:rsid w:val="6FD353CD"/>
    <w:rsid w:val="709A0466"/>
    <w:rsid w:val="7370719A"/>
    <w:rsid w:val="738F06C3"/>
    <w:rsid w:val="73E316C2"/>
    <w:rsid w:val="74092736"/>
    <w:rsid w:val="744823F1"/>
    <w:rsid w:val="75EF0C68"/>
    <w:rsid w:val="774745D9"/>
    <w:rsid w:val="77FD3677"/>
    <w:rsid w:val="78E0447A"/>
    <w:rsid w:val="7C4678F8"/>
    <w:rsid w:val="7CDFA8F1"/>
    <w:rsid w:val="7D6A0B9A"/>
    <w:rsid w:val="7DA3C06B"/>
    <w:rsid w:val="7DAE1CC5"/>
    <w:rsid w:val="7E75FADC"/>
    <w:rsid w:val="7ED69456"/>
    <w:rsid w:val="7F020F2F"/>
    <w:rsid w:val="7F3702C5"/>
    <w:rsid w:val="7F5FDDF6"/>
    <w:rsid w:val="7FFF0D97"/>
    <w:rsid w:val="BFFC2CC0"/>
    <w:rsid w:val="DBE79A78"/>
    <w:rsid w:val="E7FA9E4F"/>
    <w:rsid w:val="F0F66C82"/>
    <w:rsid w:val="F5DF04D8"/>
    <w:rsid w:val="F7BFBD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lang w:val="en-US" w:eastAsia="zh-CN" w:bidi="ar-SA"/>
    </w:rPr>
  </w:style>
  <w:style w:type="paragraph" w:styleId="5">
    <w:name w:val="heading 1"/>
    <w:basedOn w:val="1"/>
    <w:next w:val="1"/>
    <w:qFormat/>
    <w:uiPriority w:val="9"/>
    <w:pPr>
      <w:keepLines/>
      <w:spacing w:before="280" w:after="280"/>
      <w:jc w:val="center"/>
      <w:outlineLvl w:val="0"/>
    </w:pPr>
    <w:rPr>
      <w:b/>
      <w:color w:val="000000"/>
      <w:sz w:val="36"/>
    </w:rPr>
  </w:style>
  <w:style w:type="paragraph" w:styleId="6">
    <w:name w:val="heading 2"/>
    <w:basedOn w:val="1"/>
    <w:next w:val="1"/>
    <w:qFormat/>
    <w:uiPriority w:val="9"/>
    <w:pPr>
      <w:keepLines/>
      <w:spacing w:before="280" w:after="280"/>
      <w:jc w:val="center"/>
      <w:outlineLvl w:val="1"/>
    </w:pPr>
    <w:rPr>
      <w:b/>
      <w:color w:val="000000"/>
      <w:sz w:val="32"/>
    </w:rPr>
  </w:style>
  <w:style w:type="paragraph" w:styleId="7">
    <w:name w:val="heading 3"/>
    <w:basedOn w:val="1"/>
    <w:next w:val="1"/>
    <w:qFormat/>
    <w:uiPriority w:val="9"/>
    <w:pPr>
      <w:keepLines/>
      <w:spacing w:before="280" w:after="280"/>
      <w:outlineLvl w:val="2"/>
    </w:pPr>
    <w:rPr>
      <w:b/>
      <w:color w:val="000000"/>
      <w:sz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ind w:firstLine="420" w:firstLineChars="200"/>
    </w:pPr>
    <w:rPr>
      <w:sz w:val="20"/>
      <w:szCs w:val="24"/>
    </w:rPr>
  </w:style>
  <w:style w:type="paragraph" w:styleId="3">
    <w:name w:val="Body Text Indent"/>
    <w:basedOn w:val="1"/>
    <w:next w:val="4"/>
    <w:unhideWhenUsed/>
    <w:qFormat/>
    <w:uiPriority w:val="99"/>
    <w:pPr>
      <w:spacing w:after="12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Indent"/>
    <w:basedOn w:val="1"/>
    <w:qFormat/>
    <w:uiPriority w:val="0"/>
    <w:pPr>
      <w:ind w:firstLine="420"/>
    </w:pPr>
  </w:style>
  <w:style w:type="paragraph" w:styleId="9">
    <w:name w:val="annotation text"/>
    <w:basedOn w:val="1"/>
    <w:link w:val="30"/>
    <w:qFormat/>
    <w:uiPriority w:val="0"/>
  </w:style>
  <w:style w:type="paragraph" w:styleId="10">
    <w:name w:val="Body Text"/>
    <w:basedOn w:val="1"/>
    <w:next w:val="1"/>
    <w:qFormat/>
    <w:uiPriority w:val="0"/>
    <w:pPr>
      <w:spacing w:line="360" w:lineRule="auto"/>
    </w:pPr>
    <w:rPr>
      <w:rFonts w:ascii="Calibri" w:hAnsi="Calibri" w:eastAsia="宋体"/>
      <w:szCs w:val="22"/>
    </w:rPr>
  </w:style>
  <w:style w:type="paragraph" w:styleId="11">
    <w:name w:val="Plain Text"/>
    <w:basedOn w:val="1"/>
    <w:qFormat/>
    <w:uiPriority w:val="0"/>
    <w:rPr>
      <w:rFonts w:ascii="宋体" w:hAnsi="Courier New"/>
      <w:szCs w:val="21"/>
    </w:rPr>
  </w:style>
  <w:style w:type="paragraph" w:styleId="12">
    <w:name w:val="Balloon Text"/>
    <w:basedOn w:val="1"/>
    <w:link w:val="37"/>
    <w:qFormat/>
    <w:uiPriority w:val="0"/>
    <w:rPr>
      <w:rFonts w:ascii="Segoe UI" w:hAnsi="Segoe UI" w:cs="Segoe UI"/>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footnote text"/>
    <w:basedOn w:val="1"/>
    <w:unhideWhenUsed/>
    <w:qFormat/>
    <w:uiPriority w:val="99"/>
    <w:pPr>
      <w:snapToGrid w:val="0"/>
    </w:pPr>
    <w:rPr>
      <w:rFonts w:eastAsia="Times New Roman"/>
      <w:color w:val="000000"/>
      <w:sz w:val="18"/>
      <w:szCs w:val="24"/>
      <w:lang w:eastAsia="en-US" w:bidi="en-US"/>
    </w:rPr>
  </w:style>
  <w:style w:type="paragraph" w:styleId="15">
    <w:name w:val="Normal (Web)"/>
    <w:basedOn w:val="1"/>
    <w:qFormat/>
    <w:uiPriority w:val="99"/>
    <w:pPr>
      <w:spacing w:before="100" w:beforeAutospacing="1" w:after="100" w:afterAutospacing="1"/>
    </w:pPr>
  </w:style>
  <w:style w:type="paragraph" w:styleId="16">
    <w:name w:val="annotation subject"/>
    <w:basedOn w:val="9"/>
    <w:next w:val="9"/>
    <w:link w:val="31"/>
    <w:qFormat/>
    <w:uiPriority w:val="0"/>
    <w:rPr>
      <w:b/>
      <w:bCs/>
    </w:rPr>
  </w:style>
  <w:style w:type="character" w:styleId="19">
    <w:name w:val="Strong"/>
    <w:basedOn w:val="18"/>
    <w:qFormat/>
    <w:uiPriority w:val="0"/>
    <w:rPr>
      <w:b/>
    </w:rPr>
  </w:style>
  <w:style w:type="character" w:styleId="20">
    <w:name w:val="page number"/>
    <w:basedOn w:val="18"/>
    <w:semiHidden/>
    <w:unhideWhenUsed/>
    <w:qFormat/>
    <w:uiPriority w:val="99"/>
  </w:style>
  <w:style w:type="character" w:styleId="21">
    <w:name w:val="annotation reference"/>
    <w:basedOn w:val="18"/>
    <w:qFormat/>
    <w:uiPriority w:val="0"/>
    <w:rPr>
      <w:sz w:val="21"/>
      <w:szCs w:val="21"/>
    </w:rPr>
  </w:style>
  <w:style w:type="paragraph" w:customStyle="1" w:styleId="22">
    <w:name w:val="正文1"/>
    <w:basedOn w:val="11"/>
    <w:next w:val="23"/>
    <w:qFormat/>
    <w:uiPriority w:val="0"/>
    <w:rPr>
      <w:rFonts w:ascii="Calibri" w:hAnsi="Calibri"/>
      <w:szCs w:val="22"/>
    </w:rPr>
  </w:style>
  <w:style w:type="paragraph" w:customStyle="1" w:styleId="23">
    <w:name w:val="纯文本1"/>
    <w:basedOn w:val="1"/>
    <w:qFormat/>
    <w:uiPriority w:val="0"/>
    <w:rPr>
      <w:rFonts w:ascii="宋体" w:hAnsi="Courier New" w:cs="Courier New"/>
      <w:szCs w:val="21"/>
    </w:rPr>
  </w:style>
  <w:style w:type="table" w:customStyle="1" w:styleId="24">
    <w:name w:val="Table Normal1"/>
    <w:qFormat/>
    <w:uiPriority w:val="59"/>
    <w:tblPr>
      <w:tblCellMar>
        <w:top w:w="0" w:type="dxa"/>
        <w:left w:w="108" w:type="dxa"/>
        <w:bottom w:w="0" w:type="dxa"/>
        <w:right w:w="108" w:type="dxa"/>
      </w:tblCellMar>
    </w:tblPr>
  </w:style>
  <w:style w:type="paragraph" w:customStyle="1" w:styleId="25">
    <w:name w:val="font-fangsong *"/>
    <w:basedOn w:val="1"/>
    <w:qFormat/>
    <w:uiPriority w:val="0"/>
    <w:pPr>
      <w:spacing w:before="100" w:beforeAutospacing="1" w:after="100" w:afterAutospacing="1"/>
    </w:pPr>
    <w:rPr>
      <w:rFonts w:ascii="Simfang" w:hAnsi="Simfang" w:cs="Simfang"/>
    </w:rPr>
  </w:style>
  <w:style w:type="paragraph" w:customStyle="1" w:styleId="26">
    <w:name w:val="font-song *"/>
    <w:basedOn w:val="1"/>
    <w:qFormat/>
    <w:uiPriority w:val="0"/>
    <w:pPr>
      <w:spacing w:before="100" w:beforeAutospacing="1" w:after="100" w:afterAutospacing="1"/>
    </w:pPr>
    <w:rPr>
      <w:rFonts w:ascii="宋体" w:hAnsi="宋体" w:cs="宋体"/>
    </w:rPr>
  </w:style>
  <w:style w:type="paragraph" w:customStyle="1" w:styleId="27">
    <w:name w:val="font-yahei *"/>
    <w:basedOn w:val="1"/>
    <w:qFormat/>
    <w:uiPriority w:val="0"/>
    <w:pPr>
      <w:spacing w:before="100" w:beforeAutospacing="1" w:after="100" w:afterAutospacing="1"/>
    </w:pPr>
    <w:rPr>
      <w:rFonts w:ascii="Msyh" w:hAnsi="Msyh" w:cs="Msyh"/>
    </w:rPr>
  </w:style>
  <w:style w:type="character" w:customStyle="1" w:styleId="28">
    <w:name w:val="ql-author-5664"/>
    <w:qFormat/>
    <w:uiPriority w:val="0"/>
  </w:style>
  <w:style w:type="paragraph" w:customStyle="1" w:styleId="29">
    <w:name w:val="Revision1"/>
    <w:hidden/>
    <w:unhideWhenUsed/>
    <w:qFormat/>
    <w:uiPriority w:val="99"/>
    <w:rPr>
      <w:rFonts w:ascii="Times New Roman" w:hAnsi="Times New Roman" w:cs="Times New Roman" w:eastAsiaTheme="minorEastAsia"/>
      <w:sz w:val="24"/>
      <w:lang w:val="en-US" w:eastAsia="zh-CN" w:bidi="ar-SA"/>
    </w:rPr>
  </w:style>
  <w:style w:type="character" w:customStyle="1" w:styleId="30">
    <w:name w:val="Comment Text Char"/>
    <w:basedOn w:val="18"/>
    <w:link w:val="9"/>
    <w:qFormat/>
    <w:uiPriority w:val="0"/>
    <w:rPr>
      <w:sz w:val="24"/>
    </w:rPr>
  </w:style>
  <w:style w:type="character" w:customStyle="1" w:styleId="31">
    <w:name w:val="Comment Subject Char"/>
    <w:basedOn w:val="30"/>
    <w:link w:val="16"/>
    <w:qFormat/>
    <w:uiPriority w:val="0"/>
    <w:rPr>
      <w:b/>
      <w:bCs/>
      <w:sz w:val="24"/>
    </w:rPr>
  </w:style>
  <w:style w:type="paragraph" w:customStyle="1" w:styleId="32">
    <w:name w:val="_Style 1"/>
    <w:qFormat/>
    <w:uiPriority w:val="0"/>
    <w:pPr>
      <w:adjustRightInd w:val="0"/>
      <w:snapToGrid w:val="0"/>
    </w:pPr>
    <w:rPr>
      <w:rFonts w:ascii="Tahoma" w:hAnsi="Tahoma" w:eastAsia="宋体" w:cs="Times New Roman"/>
      <w:sz w:val="22"/>
      <w:szCs w:val="22"/>
      <w:lang w:val="en-US" w:eastAsia="zh-CN" w:bidi="ar-SA"/>
    </w:rPr>
  </w:style>
  <w:style w:type="paragraph" w:styleId="33">
    <w:name w:val="List Paragraph"/>
    <w:basedOn w:val="1"/>
    <w:qFormat/>
    <w:uiPriority w:val="34"/>
    <w:pPr>
      <w:ind w:firstLine="420" w:firstLineChars="200"/>
    </w:pPr>
  </w:style>
  <w:style w:type="paragraph" w:customStyle="1" w:styleId="34">
    <w:name w:val="BodyText1I2"/>
    <w:basedOn w:val="35"/>
    <w:next w:val="1"/>
    <w:qFormat/>
    <w:uiPriority w:val="0"/>
    <w:pPr>
      <w:spacing w:after="120"/>
      <w:ind w:left="420" w:leftChars="200" w:firstLine="420"/>
    </w:pPr>
    <w:rPr>
      <w:szCs w:val="21"/>
    </w:rPr>
  </w:style>
  <w:style w:type="paragraph" w:customStyle="1" w:styleId="35">
    <w:name w:val="BodyTextIndent"/>
    <w:next w:val="1"/>
    <w:qFormat/>
    <w:uiPriority w:val="0"/>
    <w:pPr>
      <w:widowControl w:val="0"/>
      <w:ind w:firstLine="900"/>
      <w:jc w:val="both"/>
    </w:pPr>
    <w:rPr>
      <w:rFonts w:ascii="Times New Roman" w:hAnsi="Times New Roman" w:eastAsia="宋体" w:cs="Times New Roman"/>
      <w:kern w:val="2"/>
      <w:sz w:val="28"/>
      <w:lang w:val="en-US" w:eastAsia="zh-CN" w:bidi="ar-SA"/>
    </w:rPr>
  </w:style>
  <w:style w:type="character" w:customStyle="1" w:styleId="36">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37">
    <w:name w:val="Balloon Text Char"/>
    <w:basedOn w:val="18"/>
    <w:link w:val="12"/>
    <w:qFormat/>
    <w:uiPriority w:val="0"/>
    <w:rPr>
      <w:rFonts w:ascii="Segoe UI" w:hAnsi="Segoe UI" w:cs="Segoe UI" w:eastAsiaTheme="minorEastAsi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3315</Words>
  <Characters>3390</Characters>
  <Lines>37</Lines>
  <Paragraphs>10</Paragraphs>
  <TotalTime>0</TotalTime>
  <ScaleCrop>false</ScaleCrop>
  <LinksUpToDate>false</LinksUpToDate>
  <CharactersWithSpaces>3585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2024-07-07T04:11:00Z</dcterms:created>
  <dc:creator>法天使</dc:creator>
  <cp:lastModifiedBy>Peterson。</cp:lastModifiedBy>
  <cp:lastPrinted>2024-06-08T01:45:00Z</cp:lastPrinted>
  <dcterms:modified xsi:type="dcterms:W3CDTF">2025-11-27T07:03:37Z</dcterms:modified>
  <dc:title>一般活动整体承办服务合同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17B896E7B8E448B991D4C19A2EF07924_13</vt:lpwstr>
  </property>
  <property fmtid="{D5CDD505-2E9C-101B-9397-08002B2CF9AE}" pid="4" name="KSOTemplateDocerSaveRecord">
    <vt:lpwstr>eyJoZGlkIjoiOGRmNzE3NGQxMzBkYTVkZDcwNjllNjUxYzYxNmM1MzMiLCJ1c2VySWQiOiIyMTI1MzEyMTMifQ==</vt:lpwstr>
  </property>
</Properties>
</file>