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4123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BF8E9DC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98FFF16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FBCF96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9603F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提供5项近5年服务过的知名/大型/上市/国企脱敏合同扫描件，须体现合同主体、合同范围、合同盖章等关键页</w:t>
            </w:r>
            <w:r>
              <w:rPr>
                <w:rFonts w:hint="eastAsia"/>
                <w:lang w:val="en-US" w:eastAsia="zh-CN"/>
              </w:rPr>
              <w:t>等。格式详见“附件1.2”</w:t>
            </w:r>
          </w:p>
        </w:tc>
      </w:tr>
      <w:tr w14:paraId="0CFB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C83A1F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AC0F8D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3EE1FF3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数据平台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4C5E20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提供自有的电力云数据平台，格式自拟；</w:t>
            </w:r>
          </w:p>
        </w:tc>
      </w:tr>
      <w:tr w14:paraId="67F3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198887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E7D503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71633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甲方用电数据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DE93371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提供华青悦汇项目的用电数据，涵盖总用电量、基本电费占比及计费方式并出具诊断报告；</w:t>
            </w:r>
          </w:p>
        </w:tc>
      </w:tr>
      <w:tr w14:paraId="3A3E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D342886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D13B7AC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2120E7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支付履约保证金承诺函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5796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投标人承诺于合同签订之日起3天内向我方支付1万元的保证金作为履行服务内容下所有义务的担保。格式详见“附件1.3”</w:t>
            </w:r>
          </w:p>
        </w:tc>
      </w:tr>
      <w:tr w14:paraId="3188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5681C7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6B42B07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850A295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1E7C31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”。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7C77FC84">
      <w:pPr>
        <w:rPr>
          <w:rFonts w:hint="eastAsia" w:cs="仿宋"/>
          <w:b/>
          <w:color w:val="auto"/>
          <w:sz w:val="28"/>
          <w:szCs w:val="28"/>
          <w:highlight w:val="none"/>
          <w:lang w:val="en-US" w:eastAsia="zh-CN"/>
        </w:rPr>
      </w:pPr>
      <w:r>
        <w:br w:type="page"/>
      </w:r>
    </w:p>
    <w:p w14:paraId="3B2FA96F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cs="仿宋"/>
          <w:b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：</w:t>
      </w:r>
    </w:p>
    <w:p w14:paraId="0C480C94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企业同类业绩一览表</w:t>
      </w:r>
    </w:p>
    <w:tbl>
      <w:tblPr>
        <w:tblStyle w:val="15"/>
        <w:tblpPr w:leftFromText="180" w:rightFromText="180" w:vertAnchor="text" w:horzAnchor="page" w:tblpX="981" w:tblpY="132"/>
        <w:tblOverlap w:val="never"/>
        <w:tblW w:w="56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619"/>
        <w:gridCol w:w="2266"/>
        <w:gridCol w:w="2121"/>
        <w:gridCol w:w="1879"/>
        <w:gridCol w:w="1369"/>
      </w:tblGrid>
      <w:tr w14:paraId="639B7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2F74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4166C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2C4CE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合同甲方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vAlign w:val="center"/>
          </w:tcPr>
          <w:p w14:paraId="288AB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合作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4C266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 w14:paraId="33DCC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4C8D7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3020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38720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3DB09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0025C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22D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1EBCC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F00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3B111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21FA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F4B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10DF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DED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1DE3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93045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0BB49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5DD0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966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39C7A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7E32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196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F3FD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5CCA1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046E4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70F8D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629D1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F70E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55813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B9602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040E6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 w14:paraId="7172B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 w14:paraId="24E23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 w14:paraId="5D0E6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 w14:paraId="40EE7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 w14:paraId="2B410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F02F70B">
      <w:pPr>
        <w:adjustRightInd w:val="0"/>
        <w:snapToGrid w:val="0"/>
        <w:spacing w:after="160" w:line="360" w:lineRule="auto"/>
        <w:rPr>
          <w:rFonts w:hint="eastAsia" w:ascii="仿宋" w:hAnsi="仿宋" w:eastAsia="仿宋" w:cs="仿宋"/>
          <w:color w:val="auto"/>
          <w:szCs w:val="21"/>
          <w:highlight w:val="none"/>
        </w:rPr>
      </w:pPr>
    </w:p>
    <w:p w14:paraId="70A70BA9">
      <w:pPr>
        <w:rPr>
          <w:rFonts w:hint="eastAsia" w:ascii="仿宋" w:hAnsi="仿宋" w:eastAsia="仿宋" w:cs="仿宋"/>
          <w:bCs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</w:t>
      </w:r>
      <w:r>
        <w:rPr>
          <w:rFonts w:hint="eastAsia" w:cs="仿宋"/>
          <w:color w:val="auto"/>
          <w:sz w:val="24"/>
          <w:szCs w:val="24"/>
          <w:highlight w:val="none"/>
          <w:lang w:val="en-US" w:eastAsia="zh-CN"/>
        </w:rPr>
        <w:t>合作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  <w:r>
        <w:rPr>
          <w:rFonts w:hint="eastAsia" w:ascii="仿宋" w:hAnsi="仿宋" w:eastAsia="仿宋" w:cs="仿宋"/>
          <w:bCs/>
          <w:color w:val="auto"/>
          <w:highlight w:val="none"/>
        </w:rP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青悦汇2026年节电服务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3、</w:t>
      </w:r>
      <w:r>
        <w:rPr>
          <w:rFonts w:hint="eastAsia"/>
          <w:lang w:val="en-US" w:eastAsia="zh-CN"/>
        </w:rPr>
        <w:t>我方</w:t>
      </w:r>
      <w:r>
        <w:rPr>
          <w:rFonts w:hint="eastAsia"/>
        </w:rPr>
        <w:t>承诺月基本电费降低比例满足</w:t>
      </w:r>
      <w:r>
        <w:rPr>
          <w:rFonts w:hint="eastAsia"/>
          <w:b/>
          <w:bCs w:val="0"/>
          <w:lang w:val="en-US" w:eastAsia="zh-CN"/>
        </w:rPr>
        <w:t>青悦汇</w:t>
      </w:r>
      <w:r>
        <w:rPr>
          <w:rFonts w:hint="eastAsia"/>
          <w:b/>
          <w:bCs w:val="0"/>
        </w:rPr>
        <w:t>＞</w:t>
      </w:r>
      <w:r>
        <w:rPr>
          <w:rFonts w:hint="eastAsia"/>
          <w:b/>
          <w:bCs w:val="0"/>
          <w:lang w:val="en-US" w:eastAsia="zh-CN"/>
        </w:rPr>
        <w:t>1</w:t>
      </w:r>
      <w:r>
        <w:rPr>
          <w:rFonts w:hint="eastAsia"/>
          <w:b/>
          <w:bCs w:val="0"/>
        </w:rPr>
        <w:t>0%</w:t>
      </w:r>
      <w:r>
        <w:rPr>
          <w:rFonts w:hint="eastAsia"/>
        </w:rPr>
        <w:t>，</w:t>
      </w:r>
      <w:r>
        <w:rPr>
          <w:rFonts w:hint="eastAsia"/>
          <w:b/>
          <w:bCs w:val="0"/>
        </w:rPr>
        <w:t>如不达标，则不参与该月的分成，且需将对应差额赔付给</w:t>
      </w:r>
      <w:r>
        <w:rPr>
          <w:rFonts w:hint="eastAsia"/>
          <w:b/>
          <w:bCs w:val="0"/>
          <w:lang w:val="en-US" w:eastAsia="zh-CN"/>
        </w:rPr>
        <w:t>甲方</w:t>
      </w:r>
      <w:r>
        <w:rPr>
          <w:rFonts w:hint="eastAsia"/>
        </w:rPr>
        <w:t>。</w:t>
      </w:r>
      <w:bookmarkStart w:id="2" w:name="_GoBack"/>
      <w:bookmarkEnd w:id="2"/>
    </w:p>
    <w:p w14:paraId="27FD9E0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4、我方承诺在开展节电工作后，如发生调整后的按需基本电费高于原按容量基本电费的情况，则该基本电费超出部分由</w:t>
      </w:r>
      <w:r>
        <w:rPr>
          <w:rFonts w:hint="eastAsia"/>
          <w:b/>
          <w:bCs w:val="0"/>
          <w:lang w:val="en-US" w:eastAsia="zh-CN"/>
        </w:rPr>
        <w:t>我方负责全额补偿给甲方</w:t>
      </w:r>
      <w:r>
        <w:rPr>
          <w:rFonts w:hint="eastAsia"/>
          <w:lang w:val="en-US" w:eastAsia="zh-CN"/>
        </w:rPr>
        <w:t>，且由此造成的所有费用由我方承担。</w:t>
      </w:r>
    </w:p>
    <w:p w14:paraId="73EAF5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、如果违反本承诺书中任何条款，我方愿意接受：</w:t>
      </w:r>
    </w:p>
    <w:p w14:paraId="7E424B8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（2）履约评价评定为合格及以下；</w:t>
      </w:r>
    </w:p>
    <w:p w14:paraId="6F69680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480" w:firstLineChars="200"/>
        <w:textAlignment w:val="auto"/>
      </w:pPr>
      <w:r>
        <w:rPr>
          <w:rFonts w:hint="eastAsia"/>
        </w:rPr>
        <w:t>（3）贵方今后可拒绝我方参与投标；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211C0FA1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p w14:paraId="403E687C">
      <w:pPr>
        <w:rPr>
          <w:rFonts w:hint="eastAsia"/>
        </w:rPr>
      </w:pPr>
      <w:r>
        <w:rPr>
          <w:rFonts w:hint="eastAsia"/>
        </w:rPr>
        <w:br w:type="page"/>
      </w:r>
    </w:p>
    <w:p w14:paraId="1F616644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4</w:t>
      </w:r>
    </w:p>
    <w:p w14:paraId="406FC52F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支付履约保证金</w:t>
      </w:r>
      <w:r>
        <w:rPr>
          <w:rFonts w:hint="eastAsia"/>
          <w:b/>
          <w:bCs w:val="0"/>
          <w:sz w:val="28"/>
          <w:szCs w:val="28"/>
        </w:rPr>
        <w:t>承诺函</w:t>
      </w:r>
    </w:p>
    <w:p w14:paraId="2E73271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auto"/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61B5A28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我方（投标人全称）：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</w:rPr>
        <w:t>，自愿参与贵方组织的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项目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>青悦汇2026年节电服务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若中标本项目，</w:t>
      </w:r>
      <w:r>
        <w:rPr>
          <w:rFonts w:hint="eastAsia"/>
        </w:rPr>
        <w:t>现就</w:t>
      </w:r>
      <w:r>
        <w:rPr>
          <w:rFonts w:hint="eastAsia"/>
          <w:lang w:val="en-US" w:eastAsia="zh-CN"/>
        </w:rPr>
        <w:t>履约</w:t>
      </w:r>
      <w:r>
        <w:rPr>
          <w:rFonts w:hint="eastAsia"/>
        </w:rPr>
        <w:t>保证金事宜郑重承诺如下：</w:t>
      </w:r>
    </w:p>
    <w:p w14:paraId="17B3E7C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保证金金额与支付时限</w:t>
      </w:r>
    </w:p>
    <w:p w14:paraId="5D71C0F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若我方中标，承诺在</w:t>
      </w:r>
      <w:r>
        <w:rPr>
          <w:rFonts w:hint="eastAsia"/>
          <w:lang w:val="en-US" w:eastAsia="zh-CN"/>
        </w:rPr>
        <w:t>中标通知书发放后合同签订前</w:t>
      </w:r>
      <w:r>
        <w:rPr>
          <w:rFonts w:hint="eastAsia"/>
        </w:rPr>
        <w:t>，向贵方支付人民币</w:t>
      </w:r>
      <w:r>
        <w:rPr>
          <w:rFonts w:hint="eastAsia"/>
          <w:lang w:val="en-US" w:eastAsia="zh-CN"/>
        </w:rPr>
        <w:t>壹</w:t>
      </w:r>
      <w:r>
        <w:rPr>
          <w:rFonts w:hint="eastAsia"/>
        </w:rPr>
        <w:t>万元整（¥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0,000） 的</w:t>
      </w:r>
      <w:r>
        <w:rPr>
          <w:rFonts w:hint="eastAsia"/>
          <w:lang w:val="en-US" w:eastAsia="zh-CN"/>
        </w:rPr>
        <w:t>履约</w:t>
      </w:r>
      <w:r>
        <w:rPr>
          <w:rFonts w:hint="eastAsia"/>
        </w:rPr>
        <w:t>保证金。</w:t>
      </w:r>
    </w:p>
    <w:p w14:paraId="53A0E90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保证金用途</w:t>
      </w:r>
    </w:p>
    <w:p w14:paraId="4A4EDB2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此款项作为我方履行《服务合同》项下所有义务（包括但不限于服务质量、</w:t>
      </w:r>
      <w:r>
        <w:rPr>
          <w:rFonts w:hint="eastAsia"/>
          <w:lang w:val="en-US" w:eastAsia="zh-CN"/>
        </w:rPr>
        <w:t>服务效果</w:t>
      </w:r>
      <w:r>
        <w:rPr>
          <w:rFonts w:hint="eastAsia"/>
        </w:rPr>
        <w:t>、保密等条款）的不可撤销担保。</w:t>
      </w:r>
    </w:p>
    <w:p w14:paraId="3A5029E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退款条件与时限</w:t>
      </w:r>
    </w:p>
    <w:p w14:paraId="2974134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待合同约定的服务期满后，若我方：未违反合同任何约定及承诺；且经贵我双方共同签署书面确认文件，贵方应在满足上述条件之日起 90个日历日内，将保证金（合计肆万元整）无息全额退还至我方指定账户。</w:t>
      </w:r>
    </w:p>
    <w:p w14:paraId="568AB84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</w:rPr>
        <w:t>本承诺函自签字盖章之日起生效，对双方具有法律约束力。</w:t>
      </w:r>
    </w:p>
    <w:p w14:paraId="3FF2CB6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/>
        </w:rPr>
      </w:pPr>
    </w:p>
    <w:p w14:paraId="095D7F30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4911B2A3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18008454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5F81055"/>
    <w:rsid w:val="0600615C"/>
    <w:rsid w:val="0A864229"/>
    <w:rsid w:val="0B2B2741"/>
    <w:rsid w:val="0B751303"/>
    <w:rsid w:val="0C5D4B54"/>
    <w:rsid w:val="0E894879"/>
    <w:rsid w:val="0FEF02B3"/>
    <w:rsid w:val="105B1B61"/>
    <w:rsid w:val="10BE600B"/>
    <w:rsid w:val="113648A1"/>
    <w:rsid w:val="11903B4E"/>
    <w:rsid w:val="11DD1ECE"/>
    <w:rsid w:val="120716CB"/>
    <w:rsid w:val="12D9220E"/>
    <w:rsid w:val="135678EB"/>
    <w:rsid w:val="137E32EB"/>
    <w:rsid w:val="13AF48C1"/>
    <w:rsid w:val="13B60902"/>
    <w:rsid w:val="13E52432"/>
    <w:rsid w:val="143B4971"/>
    <w:rsid w:val="14700CB1"/>
    <w:rsid w:val="14B260F9"/>
    <w:rsid w:val="154347A2"/>
    <w:rsid w:val="15CA2AC0"/>
    <w:rsid w:val="16296DE9"/>
    <w:rsid w:val="16B42882"/>
    <w:rsid w:val="171056A3"/>
    <w:rsid w:val="17136325"/>
    <w:rsid w:val="17C73392"/>
    <w:rsid w:val="18893450"/>
    <w:rsid w:val="19150AB5"/>
    <w:rsid w:val="19765C81"/>
    <w:rsid w:val="1A574B6D"/>
    <w:rsid w:val="1B763B8B"/>
    <w:rsid w:val="1DBD26D8"/>
    <w:rsid w:val="1E253381"/>
    <w:rsid w:val="1EF45FD8"/>
    <w:rsid w:val="1F8E7E31"/>
    <w:rsid w:val="1F91386D"/>
    <w:rsid w:val="20AB5C66"/>
    <w:rsid w:val="21E35505"/>
    <w:rsid w:val="21F433CC"/>
    <w:rsid w:val="234E0702"/>
    <w:rsid w:val="24B70CBB"/>
    <w:rsid w:val="256057E1"/>
    <w:rsid w:val="25CD7E3F"/>
    <w:rsid w:val="2761109D"/>
    <w:rsid w:val="27BD652A"/>
    <w:rsid w:val="2847702A"/>
    <w:rsid w:val="29304E64"/>
    <w:rsid w:val="294544BB"/>
    <w:rsid w:val="29D30D58"/>
    <w:rsid w:val="2BD8555E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D5DEC"/>
    <w:rsid w:val="314E3D74"/>
    <w:rsid w:val="321049D0"/>
    <w:rsid w:val="32B00E4D"/>
    <w:rsid w:val="33BF02E8"/>
    <w:rsid w:val="342D0929"/>
    <w:rsid w:val="3444618C"/>
    <w:rsid w:val="36480BC6"/>
    <w:rsid w:val="385E093C"/>
    <w:rsid w:val="38DB4455"/>
    <w:rsid w:val="396C61CD"/>
    <w:rsid w:val="3A3E4582"/>
    <w:rsid w:val="3A4F7256"/>
    <w:rsid w:val="3A9D6A5D"/>
    <w:rsid w:val="3C680E8A"/>
    <w:rsid w:val="3D3171E8"/>
    <w:rsid w:val="3DFC3452"/>
    <w:rsid w:val="3E5B5091"/>
    <w:rsid w:val="3ECF3E9B"/>
    <w:rsid w:val="40FE4130"/>
    <w:rsid w:val="417A3952"/>
    <w:rsid w:val="42E53259"/>
    <w:rsid w:val="43A37C06"/>
    <w:rsid w:val="43D02C60"/>
    <w:rsid w:val="43FB5E70"/>
    <w:rsid w:val="4540092C"/>
    <w:rsid w:val="45EA1781"/>
    <w:rsid w:val="468F4DC7"/>
    <w:rsid w:val="47881532"/>
    <w:rsid w:val="48906A9A"/>
    <w:rsid w:val="48927A1F"/>
    <w:rsid w:val="498E7188"/>
    <w:rsid w:val="49AB55A6"/>
    <w:rsid w:val="49F02869"/>
    <w:rsid w:val="4AD56CD4"/>
    <w:rsid w:val="4B646EED"/>
    <w:rsid w:val="4CE40395"/>
    <w:rsid w:val="4E66112F"/>
    <w:rsid w:val="4EC07803"/>
    <w:rsid w:val="4F722566"/>
    <w:rsid w:val="4FB56C3C"/>
    <w:rsid w:val="4FEC5144"/>
    <w:rsid w:val="4FF14809"/>
    <w:rsid w:val="50317CDC"/>
    <w:rsid w:val="50640BF4"/>
    <w:rsid w:val="525B2E2C"/>
    <w:rsid w:val="5507090D"/>
    <w:rsid w:val="55082E23"/>
    <w:rsid w:val="55256612"/>
    <w:rsid w:val="56CB2B66"/>
    <w:rsid w:val="573E554E"/>
    <w:rsid w:val="57AF2DEA"/>
    <w:rsid w:val="57AF6A32"/>
    <w:rsid w:val="59E06015"/>
    <w:rsid w:val="5AF83711"/>
    <w:rsid w:val="5BB04C2C"/>
    <w:rsid w:val="5BF14D74"/>
    <w:rsid w:val="5C7368BB"/>
    <w:rsid w:val="5CD31049"/>
    <w:rsid w:val="5CE65575"/>
    <w:rsid w:val="5D227959"/>
    <w:rsid w:val="604030F9"/>
    <w:rsid w:val="605C71A6"/>
    <w:rsid w:val="6140578B"/>
    <w:rsid w:val="619F6539"/>
    <w:rsid w:val="620843A5"/>
    <w:rsid w:val="62141106"/>
    <w:rsid w:val="631C07F5"/>
    <w:rsid w:val="656E190F"/>
    <w:rsid w:val="660C0713"/>
    <w:rsid w:val="66C13CC1"/>
    <w:rsid w:val="67244646"/>
    <w:rsid w:val="67E1027C"/>
    <w:rsid w:val="684E0792"/>
    <w:rsid w:val="68610DE6"/>
    <w:rsid w:val="68CA3301"/>
    <w:rsid w:val="68E22F25"/>
    <w:rsid w:val="6A7177BA"/>
    <w:rsid w:val="6B5477F9"/>
    <w:rsid w:val="6B971973"/>
    <w:rsid w:val="6BA72EE4"/>
    <w:rsid w:val="6CDB2BA3"/>
    <w:rsid w:val="6E2E2151"/>
    <w:rsid w:val="70460641"/>
    <w:rsid w:val="711B771F"/>
    <w:rsid w:val="71400858"/>
    <w:rsid w:val="720632A0"/>
    <w:rsid w:val="7248108B"/>
    <w:rsid w:val="738A5A44"/>
    <w:rsid w:val="73BE778E"/>
    <w:rsid w:val="74614F7E"/>
    <w:rsid w:val="75D37152"/>
    <w:rsid w:val="7603212B"/>
    <w:rsid w:val="76453E99"/>
    <w:rsid w:val="770E5AE1"/>
    <w:rsid w:val="777D7FD8"/>
    <w:rsid w:val="79DB277C"/>
    <w:rsid w:val="7A0A79F9"/>
    <w:rsid w:val="7A6207C4"/>
    <w:rsid w:val="7A9F41FF"/>
    <w:rsid w:val="7B1227F8"/>
    <w:rsid w:val="7B4F58E7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8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8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9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next w:val="1"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paragraph" w:customStyle="1" w:styleId="20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2">
    <w:name w:val="List Paragraph"/>
    <w:basedOn w:val="1"/>
    <w:link w:val="23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3">
    <w:name w:val="列表段落 字符"/>
    <w:link w:val="22"/>
    <w:qFormat/>
    <w:uiPriority w:val="0"/>
    <w:rPr>
      <w:kern w:val="2"/>
      <w:sz w:val="21"/>
    </w:rPr>
  </w:style>
  <w:style w:type="paragraph" w:customStyle="1" w:styleId="24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1646</Words>
  <Characters>1691</Characters>
  <Lines>14</Lines>
  <Paragraphs>4</Paragraphs>
  <TotalTime>14</TotalTime>
  <ScaleCrop>false</ScaleCrop>
  <LinksUpToDate>false</LinksUpToDate>
  <CharactersWithSpaces>1731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2025-11-10T01:43:25Z</cp:lastPrinted>
  <dcterms:modified xsi:type="dcterms:W3CDTF">2025-11-10T01:47:23Z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