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869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深圳市龙华环境有限公司城市管家项目2026年节日灯笼国旗等装饰物采购公开遴选</w:t>
      </w:r>
      <w:r>
        <w:rPr>
          <w:rFonts w:hint="default" w:ascii="方正小标宋简体" w:hAnsi="方正小标宋简体" w:eastAsia="方正小标宋简体" w:cs="方正小标宋简体"/>
          <w:sz w:val="44"/>
          <w:szCs w:val="44"/>
          <w:highlight w:val="none"/>
          <w:lang w:val="en-US" w:eastAsia="zh-CN"/>
        </w:rPr>
        <w:t>方案</w:t>
      </w:r>
    </w:p>
    <w:p w14:paraId="12543CD4">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一、评标细则</w:t>
      </w:r>
    </w:p>
    <w:tbl>
      <w:tblPr>
        <w:tblStyle w:val="12"/>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97"/>
        <w:gridCol w:w="811"/>
        <w:gridCol w:w="6632"/>
      </w:tblGrid>
      <w:tr w14:paraId="44FC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2" w:type="dxa"/>
            <w:gridSpan w:val="3"/>
            <w:noWrap w:val="0"/>
            <w:vAlign w:val="center"/>
          </w:tcPr>
          <w:p w14:paraId="4B2F7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bCs/>
                <w:sz w:val="28"/>
                <w:szCs w:val="28"/>
                <w:highlight w:val="none"/>
                <w:lang w:val="en-US" w:eastAsia="zh-CN"/>
              </w:rPr>
              <w:t>价格部分</w:t>
            </w:r>
          </w:p>
        </w:tc>
        <w:tc>
          <w:tcPr>
            <w:tcW w:w="6632" w:type="dxa"/>
            <w:noWrap w:val="0"/>
            <w:vAlign w:val="center"/>
          </w:tcPr>
          <w:p w14:paraId="2F4F4D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30分</w:t>
            </w:r>
          </w:p>
        </w:tc>
      </w:tr>
      <w:tr w14:paraId="0A34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noWrap w:val="0"/>
            <w:vAlign w:val="center"/>
          </w:tcPr>
          <w:p w14:paraId="3E843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val="0"/>
                <w:bCs w:val="0"/>
                <w:sz w:val="28"/>
                <w:szCs w:val="28"/>
                <w:highlight w:val="none"/>
                <w:lang w:val="en-US" w:eastAsia="zh-CN"/>
              </w:rPr>
              <w:t>报价</w:t>
            </w:r>
          </w:p>
        </w:tc>
        <w:tc>
          <w:tcPr>
            <w:tcW w:w="6632" w:type="dxa"/>
            <w:noWrap w:val="0"/>
            <w:vAlign w:val="center"/>
          </w:tcPr>
          <w:p w14:paraId="071ADAB1">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rPr>
              <w:t>标得分=[1-D×│1－投标报价／C│]×价格权重（</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%）×100</w:t>
            </w:r>
          </w:p>
          <w:p w14:paraId="3FA24430">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C---即本次招标的最佳报价，即对所有通过资格性检查和符合性检查且报价不超过预算控制金额的有效投标报价取算术平均值，并将算术平均值</w:t>
            </w:r>
            <w:r>
              <w:rPr>
                <w:rFonts w:hint="eastAsia" w:ascii="仿宋" w:hAnsi="仿宋" w:eastAsia="仿宋" w:cs="仿宋"/>
                <w:sz w:val="28"/>
                <w:szCs w:val="28"/>
                <w:highlight w:val="none"/>
                <w:lang w:val="en-US" w:eastAsia="zh-CN"/>
              </w:rPr>
              <w:t>下浮5%</w:t>
            </w:r>
            <w:r>
              <w:rPr>
                <w:rFonts w:hint="eastAsia" w:ascii="仿宋" w:hAnsi="仿宋" w:eastAsia="仿宋" w:cs="仿宋"/>
                <w:sz w:val="28"/>
                <w:szCs w:val="28"/>
                <w:highlight w:val="none"/>
              </w:rPr>
              <w:t>作为本次招标最佳报价。</w:t>
            </w:r>
          </w:p>
          <w:p w14:paraId="351BB7E0">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D---价格调整系数，当投标报价低于本次招标最佳报价时，D=0.5；当投标报价高于本次招标最佳报价时，取D=1</w:t>
            </w:r>
            <w:r>
              <w:rPr>
                <w:rFonts w:hint="eastAsia" w:ascii="仿宋" w:hAnsi="仿宋" w:eastAsia="仿宋" w:cs="仿宋"/>
                <w:sz w:val="28"/>
                <w:szCs w:val="28"/>
                <w:highlight w:val="none"/>
                <w:lang w:eastAsia="zh-CN"/>
              </w:rPr>
              <w:t>。</w:t>
            </w:r>
          </w:p>
          <w:p w14:paraId="719CFB9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当</w:t>
            </w:r>
            <w:r>
              <w:rPr>
                <w:rFonts w:hint="eastAsia" w:ascii="仿宋" w:hAnsi="仿宋" w:eastAsia="仿宋" w:cs="仿宋"/>
                <w:sz w:val="28"/>
                <w:szCs w:val="28"/>
                <w:highlight w:val="none"/>
                <w:lang w:eastAsia="zh-CN"/>
              </w:rPr>
              <w:t>价格</w:t>
            </w:r>
            <w:r>
              <w:rPr>
                <w:rFonts w:hint="eastAsia" w:ascii="仿宋" w:hAnsi="仿宋" w:eastAsia="仿宋" w:cs="仿宋"/>
                <w:sz w:val="28"/>
                <w:szCs w:val="28"/>
                <w:highlight w:val="none"/>
              </w:rPr>
              <w:t>标得分＜0时，取0。</w:t>
            </w:r>
          </w:p>
        </w:tc>
      </w:tr>
      <w:tr w14:paraId="60FB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shd w:val="clear" w:color="auto" w:fill="auto"/>
            <w:noWrap w:val="0"/>
            <w:vAlign w:val="center"/>
          </w:tcPr>
          <w:p w14:paraId="5B3AB9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商务部分</w:t>
            </w:r>
          </w:p>
        </w:tc>
        <w:tc>
          <w:tcPr>
            <w:tcW w:w="6632" w:type="dxa"/>
            <w:shd w:val="clear" w:color="auto" w:fill="auto"/>
            <w:noWrap w:val="0"/>
            <w:vAlign w:val="center"/>
          </w:tcPr>
          <w:p w14:paraId="660C69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30分</w:t>
            </w:r>
          </w:p>
        </w:tc>
      </w:tr>
      <w:tr w14:paraId="6F0C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noWrap w:val="0"/>
            <w:vAlign w:val="center"/>
          </w:tcPr>
          <w:p w14:paraId="2073FD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序号</w:t>
            </w:r>
          </w:p>
        </w:tc>
        <w:tc>
          <w:tcPr>
            <w:tcW w:w="997" w:type="dxa"/>
            <w:noWrap w:val="0"/>
            <w:vAlign w:val="center"/>
          </w:tcPr>
          <w:p w14:paraId="133308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评分内容</w:t>
            </w:r>
          </w:p>
        </w:tc>
        <w:tc>
          <w:tcPr>
            <w:tcW w:w="811" w:type="dxa"/>
            <w:noWrap w:val="0"/>
            <w:vAlign w:val="center"/>
          </w:tcPr>
          <w:p w14:paraId="45B972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权重（%）</w:t>
            </w:r>
          </w:p>
        </w:tc>
        <w:tc>
          <w:tcPr>
            <w:tcW w:w="6632" w:type="dxa"/>
            <w:noWrap w:val="0"/>
            <w:vAlign w:val="center"/>
          </w:tcPr>
          <w:p w14:paraId="46FEA6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评分细则</w:t>
            </w:r>
          </w:p>
        </w:tc>
      </w:tr>
      <w:tr w14:paraId="138D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0FB050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997" w:type="dxa"/>
            <w:noWrap w:val="0"/>
            <w:vAlign w:val="center"/>
          </w:tcPr>
          <w:p w14:paraId="6EF49A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Cs/>
                <w:snapToGrid w:val="0"/>
                <w:color w:val="auto"/>
                <w:sz w:val="28"/>
                <w:szCs w:val="28"/>
                <w:highlight w:val="none"/>
                <w:lang w:val="en-US" w:eastAsia="zh-CN"/>
              </w:rPr>
              <w:t>同类</w:t>
            </w:r>
            <w:r>
              <w:rPr>
                <w:rFonts w:hint="eastAsia" w:ascii="仿宋" w:hAnsi="仿宋" w:eastAsia="仿宋" w:cs="仿宋"/>
                <w:bCs/>
                <w:snapToGrid w:val="0"/>
                <w:color w:val="auto"/>
                <w:sz w:val="28"/>
                <w:szCs w:val="28"/>
                <w:highlight w:val="none"/>
              </w:rPr>
              <w:t>业绩</w:t>
            </w:r>
          </w:p>
        </w:tc>
        <w:tc>
          <w:tcPr>
            <w:tcW w:w="811" w:type="dxa"/>
            <w:noWrap w:val="0"/>
            <w:vAlign w:val="center"/>
          </w:tcPr>
          <w:p w14:paraId="2F39FD7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16分</w:t>
            </w:r>
          </w:p>
        </w:tc>
        <w:tc>
          <w:tcPr>
            <w:tcW w:w="6632" w:type="dxa"/>
            <w:noWrap w:val="0"/>
            <w:vAlign w:val="center"/>
          </w:tcPr>
          <w:p w14:paraId="3ED8CF0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一、评分内容：</w:t>
            </w:r>
          </w:p>
          <w:p w14:paraId="41DBF5B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color w:val="auto"/>
                <w:kern w:val="2"/>
                <w:sz w:val="28"/>
                <w:szCs w:val="28"/>
                <w:highlight w:val="none"/>
                <w:lang w:val="en-US" w:eastAsia="zh-CN" w:bidi="ar-SA"/>
              </w:rPr>
              <w:t>投标人近三年内（自2022年1月1日至投标截止日，以合同签订时间为准）承担过同类项目业绩（同类项目是指灯笼或国旗销售或安装业绩），每提供1个业绩案例得4分，本项满分得16分，有效合同业绩需提供4项，超过4项的只取前4项。</w:t>
            </w:r>
            <w:r>
              <w:rPr>
                <w:rFonts w:hint="eastAsia" w:ascii="仿宋" w:hAnsi="仿宋" w:eastAsia="仿宋" w:cs="仿宋"/>
                <w:color w:val="auto"/>
                <w:sz w:val="28"/>
                <w:szCs w:val="28"/>
                <w:highlight w:val="none"/>
                <w:vertAlign w:val="baseline"/>
                <w:lang w:val="en-US" w:eastAsia="zh-CN"/>
              </w:rPr>
              <w:br w:type="textWrapping"/>
            </w:r>
            <w:r>
              <w:rPr>
                <w:rFonts w:hint="eastAsia" w:ascii="仿宋" w:hAnsi="仿宋" w:eastAsia="仿宋" w:cs="仿宋"/>
                <w:b/>
                <w:bCs/>
                <w:color w:val="auto"/>
                <w:kern w:val="2"/>
                <w:sz w:val="28"/>
                <w:szCs w:val="28"/>
                <w:highlight w:val="none"/>
                <w:vertAlign w:val="baseline"/>
                <w:lang w:val="en-US" w:eastAsia="zh-CN" w:bidi="ar-SA"/>
              </w:rPr>
              <w:t>二、</w:t>
            </w:r>
            <w:r>
              <w:rPr>
                <w:rFonts w:hint="eastAsia" w:ascii="仿宋" w:hAnsi="仿宋" w:eastAsia="仿宋" w:cs="仿宋"/>
                <w:b/>
                <w:bCs/>
                <w:color w:val="auto"/>
                <w:sz w:val="28"/>
                <w:szCs w:val="28"/>
                <w:highlight w:val="none"/>
                <w:vertAlign w:val="baseline"/>
                <w:lang w:val="en-US" w:eastAsia="zh-CN"/>
              </w:rPr>
              <w:t>评分依据：</w:t>
            </w:r>
          </w:p>
          <w:p w14:paraId="2010AAD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未提供这些证明文件不得分。</w:t>
            </w:r>
          </w:p>
        </w:tc>
      </w:tr>
      <w:tr w14:paraId="5984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1A1056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997" w:type="dxa"/>
            <w:shd w:val="clear" w:color="auto" w:fill="auto"/>
            <w:noWrap w:val="0"/>
            <w:vAlign w:val="center"/>
          </w:tcPr>
          <w:p w14:paraId="7EB97B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相关经营范围</w:t>
            </w:r>
          </w:p>
        </w:tc>
        <w:tc>
          <w:tcPr>
            <w:tcW w:w="811" w:type="dxa"/>
            <w:shd w:val="clear" w:color="auto" w:fill="auto"/>
            <w:noWrap w:val="0"/>
            <w:vAlign w:val="center"/>
          </w:tcPr>
          <w:p w14:paraId="2AF1D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14分</w:t>
            </w:r>
          </w:p>
        </w:tc>
        <w:tc>
          <w:tcPr>
            <w:tcW w:w="6632" w:type="dxa"/>
            <w:shd w:val="clear" w:color="auto" w:fill="auto"/>
            <w:noWrap w:val="0"/>
            <w:vAlign w:val="center"/>
          </w:tcPr>
          <w:p w14:paraId="2D38D7CF">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一、评分内容：</w:t>
            </w:r>
          </w:p>
          <w:p w14:paraId="62B359AF">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1.投标人经营范围中包含灯笼制品研发及销售的得7分；</w:t>
            </w:r>
          </w:p>
          <w:p w14:paraId="1B4104FE">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2.投标人经营范围中包含布艺制品研发及销售的得7分。</w:t>
            </w:r>
          </w:p>
          <w:p w14:paraId="554DD580">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本项最高得14分</w:t>
            </w:r>
          </w:p>
          <w:p w14:paraId="5ACC7DE2">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二、评分依据</w:t>
            </w:r>
          </w:p>
          <w:p w14:paraId="2D6FA778">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lang w:val="en-US" w:eastAsia="zh-CN"/>
              </w:rPr>
            </w:pPr>
            <w:r>
              <w:rPr>
                <w:rFonts w:hint="eastAsia" w:ascii="仿宋" w:hAnsi="仿宋" w:eastAsia="仿宋" w:cs="仿宋"/>
                <w:color w:val="auto"/>
                <w:sz w:val="28"/>
                <w:szCs w:val="28"/>
                <w:highlight w:val="none"/>
                <w:lang w:val="en-US" w:eastAsia="zh-CN"/>
              </w:rPr>
              <w:t>以上证明材料须提供证书扫描件或官方网站截图判断是否具有相关经营范围（须加盖公章），未提供或提供的资料无法判断是否有效的均不得分。</w:t>
            </w:r>
          </w:p>
        </w:tc>
      </w:tr>
      <w:tr w14:paraId="2B77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442" w:type="dxa"/>
            <w:gridSpan w:val="3"/>
            <w:noWrap w:val="0"/>
            <w:vAlign w:val="center"/>
          </w:tcPr>
          <w:p w14:paraId="7ECD7C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6632" w:type="dxa"/>
            <w:shd w:val="clear" w:color="auto" w:fill="auto"/>
            <w:noWrap w:val="0"/>
            <w:vAlign w:val="center"/>
          </w:tcPr>
          <w:p w14:paraId="00B9AC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bookmarkStart w:id="0" w:name="_GoBack"/>
            <w:bookmarkEnd w:id="0"/>
            <w:r>
              <w:rPr>
                <w:rFonts w:hint="eastAsia" w:ascii="仿宋" w:hAnsi="仿宋" w:eastAsia="仿宋" w:cs="仿宋"/>
                <w:b/>
                <w:bCs/>
                <w:sz w:val="28"/>
                <w:szCs w:val="28"/>
                <w:highlight w:val="none"/>
                <w:lang w:val="en-US" w:eastAsia="zh-CN"/>
              </w:rPr>
              <w:t>40分</w:t>
            </w:r>
          </w:p>
        </w:tc>
      </w:tr>
      <w:tr w14:paraId="5076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2D4B56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1</w:t>
            </w:r>
          </w:p>
        </w:tc>
        <w:tc>
          <w:tcPr>
            <w:tcW w:w="997" w:type="dxa"/>
            <w:shd w:val="clear" w:color="auto" w:fill="auto"/>
            <w:noWrap w:val="0"/>
            <w:vAlign w:val="center"/>
          </w:tcPr>
          <w:p w14:paraId="42E6345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Cs/>
                <w:snapToGrid w:val="0"/>
                <w:color w:val="auto"/>
                <w:sz w:val="28"/>
                <w:szCs w:val="28"/>
                <w:highlight w:val="none"/>
                <w:lang w:val="en-US"/>
              </w:rPr>
            </w:pPr>
            <w:r>
              <w:rPr>
                <w:rFonts w:hint="eastAsia" w:ascii="仿宋" w:hAnsi="仿宋" w:eastAsia="仿宋" w:cs="仿宋"/>
                <w:sz w:val="28"/>
                <w:szCs w:val="28"/>
                <w:highlight w:val="none"/>
                <w:vertAlign w:val="baseline"/>
                <w:lang w:val="en-US" w:eastAsia="zh-CN"/>
              </w:rPr>
              <w:t>样品演示</w:t>
            </w:r>
          </w:p>
        </w:tc>
        <w:tc>
          <w:tcPr>
            <w:tcW w:w="811" w:type="dxa"/>
            <w:shd w:val="clear" w:color="auto" w:fill="auto"/>
            <w:noWrap w:val="0"/>
            <w:vAlign w:val="center"/>
          </w:tcPr>
          <w:p w14:paraId="5CE1FD2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 w:hAnsi="仿宋" w:eastAsia="仿宋" w:cs="仿宋"/>
                <w:sz w:val="28"/>
                <w:szCs w:val="28"/>
                <w:highlight w:val="none"/>
                <w:lang w:val="en-US" w:eastAsia="zh-CN"/>
              </w:rPr>
              <w:t>30</w:t>
            </w:r>
          </w:p>
        </w:tc>
        <w:tc>
          <w:tcPr>
            <w:tcW w:w="6632" w:type="dxa"/>
            <w:shd w:val="clear" w:color="auto" w:fill="auto"/>
            <w:noWrap w:val="0"/>
            <w:vAlign w:val="top"/>
          </w:tcPr>
          <w:p w14:paraId="78A012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7F14BBBB">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投标人需携带实物至开标现场。</w:t>
            </w:r>
          </w:p>
          <w:p w14:paraId="47204BE3">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需拟使用的40寸灯笼、48寸灯笼、小号灯笼、2号国旗、3号国旗、18WT8防爆防水纳米灯管光源样品并演示，其中灯笼为40寸、48寸涤纶面料，收拢高度分别为122CM和150CM；2号国旗、3号国旗为防水抗晒防静电面料，尺寸分别为240CM*160CM、192CM*128CM；18WT8防爆防水纳米灯管光源为三段18WT8防爆防水纳米灯管光源(每段长26CM）串联为一体式。</w:t>
            </w:r>
          </w:p>
          <w:p w14:paraId="2F34C5D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7A5F793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评审委员会根据拟使用样品的尺寸、外观、面料、18WT8防爆防水纳米灯管性能等是否达到遴选文件要求进行分档评分：优26-30分，良21-25分，中16-20分，差不得分。</w:t>
            </w:r>
          </w:p>
          <w:p w14:paraId="58DD310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_GB2312" w:hAnsi="仿宋_GB2312" w:eastAsia="仿宋_GB2312" w:cs="仿宋_GB2312"/>
                <w:bCs/>
                <w:snapToGrid w:val="0"/>
                <w:color w:val="auto"/>
                <w:sz w:val="28"/>
                <w:szCs w:val="28"/>
                <w:highlight w:val="none"/>
              </w:rPr>
            </w:pPr>
            <w:r>
              <w:rPr>
                <w:rFonts w:hint="eastAsia" w:ascii="仿宋" w:hAnsi="仿宋" w:eastAsia="仿宋" w:cs="仿宋"/>
                <w:kern w:val="2"/>
                <w:sz w:val="28"/>
                <w:szCs w:val="28"/>
                <w:highlight w:val="none"/>
                <w:vertAlign w:val="baseline"/>
                <w:lang w:val="en-US" w:eastAsia="zh-CN" w:bidi="ar-SA"/>
              </w:rPr>
              <w:t>注：不提供样品不得分。</w:t>
            </w:r>
          </w:p>
        </w:tc>
      </w:tr>
      <w:tr w14:paraId="2957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689797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2</w:t>
            </w:r>
          </w:p>
        </w:tc>
        <w:tc>
          <w:tcPr>
            <w:tcW w:w="997" w:type="dxa"/>
            <w:shd w:val="clear" w:color="auto" w:fill="auto"/>
            <w:noWrap w:val="0"/>
            <w:vAlign w:val="center"/>
          </w:tcPr>
          <w:p w14:paraId="539C43E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Cs/>
                <w:snapToGrid w:val="0"/>
                <w:color w:val="auto"/>
                <w:sz w:val="28"/>
                <w:szCs w:val="28"/>
                <w:highlight w:val="none"/>
                <w:lang w:val="en-US"/>
              </w:rPr>
            </w:pPr>
            <w:r>
              <w:rPr>
                <w:rFonts w:hint="eastAsia" w:ascii="仿宋" w:hAnsi="仿宋" w:eastAsia="仿宋" w:cs="仿宋"/>
                <w:sz w:val="28"/>
                <w:szCs w:val="28"/>
                <w:highlight w:val="none"/>
                <w:vertAlign w:val="baseline"/>
                <w:lang w:val="en-US" w:eastAsia="zh-CN"/>
              </w:rPr>
              <w:t>灯笼、国旗送达保障措施方案</w:t>
            </w:r>
          </w:p>
        </w:tc>
        <w:tc>
          <w:tcPr>
            <w:tcW w:w="811" w:type="dxa"/>
            <w:shd w:val="clear" w:color="auto" w:fill="auto"/>
            <w:noWrap w:val="0"/>
            <w:vAlign w:val="center"/>
          </w:tcPr>
          <w:p w14:paraId="10FFF62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 w:hAnsi="仿宋" w:eastAsia="仿宋" w:cs="仿宋"/>
                <w:sz w:val="28"/>
                <w:szCs w:val="28"/>
                <w:highlight w:val="none"/>
                <w:lang w:val="en-US" w:eastAsia="zh-CN"/>
              </w:rPr>
              <w:t>5</w:t>
            </w:r>
          </w:p>
        </w:tc>
        <w:tc>
          <w:tcPr>
            <w:tcW w:w="6632" w:type="dxa"/>
            <w:shd w:val="clear" w:color="auto" w:fill="auto"/>
            <w:noWrap w:val="0"/>
            <w:vAlign w:val="top"/>
          </w:tcPr>
          <w:p w14:paraId="4C4A513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6A090CBD">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lang w:val="en-US" w:eastAsia="zh-CN"/>
              </w:rPr>
              <w:t>投标人对</w:t>
            </w:r>
            <w:r>
              <w:rPr>
                <w:rFonts w:hint="eastAsia" w:ascii="仿宋" w:hAnsi="仿宋" w:eastAsia="仿宋" w:cs="仿宋"/>
                <w:sz w:val="28"/>
                <w:szCs w:val="28"/>
                <w:highlight w:val="none"/>
                <w:vertAlign w:val="baseline"/>
                <w:lang w:val="en-US" w:eastAsia="zh-CN"/>
              </w:rPr>
              <w:t>灯笼、国旗的运输、质量、包装、应急预案等方案编制送达保障措施方案，本项最高得5分。</w:t>
            </w:r>
          </w:p>
          <w:p w14:paraId="5786080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24BB358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（1）送达保障措施内容全面；</w:t>
            </w:r>
          </w:p>
          <w:p w14:paraId="2D5CB02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（2）送达保障措施内容具体；</w:t>
            </w:r>
          </w:p>
          <w:p w14:paraId="37CDA90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（3）送达保障措施内容科学合理；</w:t>
            </w:r>
          </w:p>
          <w:p w14:paraId="3CF556A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（4）送达保障措施内容针对性强；</w:t>
            </w:r>
          </w:p>
          <w:p w14:paraId="6DAD6065">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（5）送达保障措施内容可操作性强。</w:t>
            </w:r>
          </w:p>
          <w:p w14:paraId="62E15F5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满足以上五项要求的评分得5分；满足以上四项要求的评分得4分；满足以上三项要求的评分得3分；满足以上两项要求的评分得2分；上述情况之外的，得0分。</w:t>
            </w:r>
          </w:p>
          <w:p w14:paraId="58C5AED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_GB2312" w:hAnsi="仿宋_GB2312" w:eastAsia="仿宋_GB2312" w:cs="仿宋_GB2312"/>
                <w:bCs/>
                <w:snapToGrid w:val="0"/>
                <w:color w:val="auto"/>
                <w:sz w:val="28"/>
                <w:szCs w:val="28"/>
                <w:highlight w:val="none"/>
              </w:rPr>
            </w:pPr>
            <w:r>
              <w:rPr>
                <w:rFonts w:hint="eastAsia" w:ascii="仿宋" w:hAnsi="仿宋" w:eastAsia="仿宋" w:cs="仿宋"/>
                <w:sz w:val="28"/>
                <w:szCs w:val="28"/>
                <w:highlight w:val="none"/>
                <w:vertAlign w:val="baseline"/>
                <w:lang w:val="en-US" w:eastAsia="zh-CN"/>
              </w:rPr>
              <w:t>内容格式，投标人自拟。</w:t>
            </w:r>
          </w:p>
        </w:tc>
      </w:tr>
      <w:tr w14:paraId="7B7C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3A2CED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3</w:t>
            </w:r>
          </w:p>
        </w:tc>
        <w:tc>
          <w:tcPr>
            <w:tcW w:w="997" w:type="dxa"/>
            <w:shd w:val="clear" w:color="auto" w:fill="auto"/>
            <w:noWrap w:val="0"/>
            <w:vAlign w:val="center"/>
          </w:tcPr>
          <w:p w14:paraId="094FA0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lang w:val="en-US" w:eastAsia="zh-CN"/>
              </w:rPr>
              <w:t>违约承诺</w:t>
            </w:r>
          </w:p>
        </w:tc>
        <w:tc>
          <w:tcPr>
            <w:tcW w:w="811" w:type="dxa"/>
            <w:shd w:val="clear" w:color="auto" w:fill="auto"/>
            <w:noWrap w:val="0"/>
            <w:vAlign w:val="center"/>
          </w:tcPr>
          <w:p w14:paraId="0DFEDF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5</w:t>
            </w:r>
          </w:p>
        </w:tc>
        <w:tc>
          <w:tcPr>
            <w:tcW w:w="6632" w:type="dxa"/>
            <w:shd w:val="clear" w:color="auto" w:fill="auto"/>
            <w:noWrap w:val="0"/>
            <w:vAlign w:val="top"/>
          </w:tcPr>
          <w:p w14:paraId="67BEA4D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004D6180">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投标人提供违约承诺得5分。</w:t>
            </w:r>
          </w:p>
          <w:p w14:paraId="14619C8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要求提供承诺内容包括：</w:t>
            </w:r>
          </w:p>
          <w:p w14:paraId="6B21238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(1)全面响应项目遴选文件中各项技术和商务要求；</w:t>
            </w:r>
          </w:p>
          <w:p w14:paraId="7E802B1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(2)投标文件所列全部内容真实，不存在虚假情况；</w:t>
            </w:r>
          </w:p>
          <w:p w14:paraId="1793286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(3)全面配合采购人，保质保量完成本服务项目。</w:t>
            </w:r>
          </w:p>
          <w:p w14:paraId="6B5B142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03D9D49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vertAlign w:val="baseline"/>
                <w:lang w:val="en-US" w:eastAsia="zh-CN"/>
              </w:rPr>
              <w:t>提供承诺函(格式自拟)作为得分依据，未提供承诺或承诺内容不满足要求不得分。若违反任何一项承诺，同意全面接受采购人做出的相应违约处理。</w:t>
            </w:r>
          </w:p>
        </w:tc>
      </w:tr>
    </w:tbl>
    <w:p w14:paraId="67C13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E7A4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0A001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DFB5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14:paraId="7F857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0B0CF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0EDE75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2228D62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5EA6F1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3.同类业绩</w:t>
      </w:r>
    </w:p>
    <w:p w14:paraId="45D59C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4.相关经营范围</w:t>
      </w:r>
    </w:p>
    <w:p w14:paraId="4A92764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5.样品演示</w:t>
      </w:r>
    </w:p>
    <w:p w14:paraId="24381D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6.灯笼、国旗送达保障措施方案</w:t>
      </w:r>
    </w:p>
    <w:p w14:paraId="42804D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7.违约承诺</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8.投标报价一览表</w:t>
      </w:r>
    </w:p>
    <w:p w14:paraId="6F8C82F0">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156F0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2"/>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3C99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4619C8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0C36469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11D7C1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2C8BD8B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F2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D4AC3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FA7C7C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848E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6F767C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4CF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5A84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588CE7E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C50C5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1D0178E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36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C48AF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23EFE8A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E578E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0E6D345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5F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DAE235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30E89B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2580887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AD7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593F06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0B5AD9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76581CD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D63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203B3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533C16A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A9B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0F10BC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3E8A68E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AF9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AFCE2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7DF81CC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E8F413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件应后附，如果表中填写的内容与招标人在相关网站查询结果不一致，将视为投标人存在弄虚作假的情形。</w:t>
      </w:r>
    </w:p>
    <w:p w14:paraId="30D578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457C16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7F73EF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4C4416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027BDA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深圳市龙华环境有限公司城市管家项目2026年节日灯笼国旗等装饰物采购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007B43D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我方接受《深圳市龙华环境有限公司城市管家项目2026年节日灯笼国旗等装饰物采购公开遴选公告》中确定的计价方式，根据企业自身情况，理性报价，不会以低于成本的报价竞争。 </w:t>
      </w:r>
    </w:p>
    <w:p w14:paraId="6CDEA7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一旦我方中选，将与委托单位友好合作，依约履行委托合同，自觉接受委托单位的日常监管和履约评价，为委托单位提供优质、高效服务。</w:t>
      </w:r>
    </w:p>
    <w:p w14:paraId="491A21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73E0774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74CCCFC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02E91CE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15B51C5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10F8D1B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027CC89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BF869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0FE4016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4E20F9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10CA75F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3905F6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3.同类业绩</w:t>
      </w:r>
    </w:p>
    <w:tbl>
      <w:tblPr>
        <w:tblStyle w:val="11"/>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21960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36AF76C">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368" w:type="dxa"/>
            <w:noWrap w:val="0"/>
            <w:vAlign w:val="center"/>
          </w:tcPr>
          <w:p w14:paraId="15E24AE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客户名称</w:t>
            </w:r>
          </w:p>
        </w:tc>
        <w:tc>
          <w:tcPr>
            <w:tcW w:w="2813" w:type="dxa"/>
            <w:noWrap w:val="0"/>
            <w:vAlign w:val="center"/>
          </w:tcPr>
          <w:p w14:paraId="4BF0F295">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项目名称及合同金额（万元）</w:t>
            </w:r>
          </w:p>
        </w:tc>
        <w:tc>
          <w:tcPr>
            <w:tcW w:w="1125" w:type="dxa"/>
            <w:noWrap w:val="0"/>
            <w:vAlign w:val="center"/>
          </w:tcPr>
          <w:p w14:paraId="4735B6A4">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签订合同时间</w:t>
            </w:r>
          </w:p>
        </w:tc>
        <w:tc>
          <w:tcPr>
            <w:tcW w:w="2062" w:type="dxa"/>
            <w:noWrap w:val="0"/>
            <w:vAlign w:val="center"/>
          </w:tcPr>
          <w:p w14:paraId="323DA09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联系人及电话</w:t>
            </w:r>
          </w:p>
        </w:tc>
      </w:tr>
      <w:tr w14:paraId="47FD1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9FFBCC7">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68" w:type="dxa"/>
            <w:noWrap w:val="0"/>
            <w:vAlign w:val="center"/>
          </w:tcPr>
          <w:p w14:paraId="72C5285D">
            <w:pPr>
              <w:jc w:val="center"/>
              <w:rPr>
                <w:rFonts w:hint="eastAsia" w:ascii="仿宋" w:hAnsi="仿宋" w:eastAsia="仿宋" w:cs="仿宋"/>
                <w:sz w:val="28"/>
                <w:szCs w:val="28"/>
                <w:highlight w:val="none"/>
              </w:rPr>
            </w:pPr>
          </w:p>
        </w:tc>
        <w:tc>
          <w:tcPr>
            <w:tcW w:w="2813" w:type="dxa"/>
            <w:noWrap w:val="0"/>
            <w:vAlign w:val="center"/>
          </w:tcPr>
          <w:p w14:paraId="0732424C">
            <w:pPr>
              <w:jc w:val="center"/>
              <w:rPr>
                <w:rFonts w:hint="eastAsia" w:ascii="仿宋" w:hAnsi="仿宋" w:eastAsia="仿宋" w:cs="仿宋"/>
                <w:sz w:val="28"/>
                <w:szCs w:val="28"/>
                <w:highlight w:val="none"/>
              </w:rPr>
            </w:pPr>
          </w:p>
        </w:tc>
        <w:tc>
          <w:tcPr>
            <w:tcW w:w="1125" w:type="dxa"/>
            <w:noWrap w:val="0"/>
            <w:vAlign w:val="center"/>
          </w:tcPr>
          <w:p w14:paraId="590749AA">
            <w:pPr>
              <w:jc w:val="center"/>
              <w:rPr>
                <w:rFonts w:hint="eastAsia" w:ascii="仿宋" w:hAnsi="仿宋" w:eastAsia="仿宋" w:cs="仿宋"/>
                <w:sz w:val="28"/>
                <w:szCs w:val="28"/>
                <w:highlight w:val="none"/>
              </w:rPr>
            </w:pPr>
          </w:p>
        </w:tc>
        <w:tc>
          <w:tcPr>
            <w:tcW w:w="2062" w:type="dxa"/>
            <w:noWrap w:val="0"/>
            <w:vAlign w:val="center"/>
          </w:tcPr>
          <w:p w14:paraId="3525E0B9">
            <w:pPr>
              <w:jc w:val="center"/>
              <w:rPr>
                <w:rFonts w:hint="eastAsia" w:ascii="仿宋" w:hAnsi="仿宋" w:eastAsia="仿宋" w:cs="仿宋"/>
                <w:sz w:val="28"/>
                <w:szCs w:val="28"/>
                <w:highlight w:val="none"/>
              </w:rPr>
            </w:pPr>
          </w:p>
        </w:tc>
      </w:tr>
      <w:tr w14:paraId="375B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715A92">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68" w:type="dxa"/>
            <w:noWrap w:val="0"/>
            <w:vAlign w:val="center"/>
          </w:tcPr>
          <w:p w14:paraId="59527FDC">
            <w:pPr>
              <w:jc w:val="center"/>
              <w:rPr>
                <w:rFonts w:hint="eastAsia" w:ascii="仿宋" w:hAnsi="仿宋" w:eastAsia="仿宋" w:cs="仿宋"/>
                <w:sz w:val="28"/>
                <w:szCs w:val="28"/>
                <w:highlight w:val="none"/>
              </w:rPr>
            </w:pPr>
          </w:p>
        </w:tc>
        <w:tc>
          <w:tcPr>
            <w:tcW w:w="2813" w:type="dxa"/>
            <w:noWrap w:val="0"/>
            <w:vAlign w:val="center"/>
          </w:tcPr>
          <w:p w14:paraId="3C22A138">
            <w:pPr>
              <w:jc w:val="center"/>
              <w:rPr>
                <w:rFonts w:hint="eastAsia" w:ascii="仿宋" w:hAnsi="仿宋" w:eastAsia="仿宋" w:cs="仿宋"/>
                <w:sz w:val="28"/>
                <w:szCs w:val="28"/>
                <w:highlight w:val="none"/>
              </w:rPr>
            </w:pPr>
          </w:p>
        </w:tc>
        <w:tc>
          <w:tcPr>
            <w:tcW w:w="1125" w:type="dxa"/>
            <w:noWrap w:val="0"/>
            <w:vAlign w:val="center"/>
          </w:tcPr>
          <w:p w14:paraId="3DEFB5B2">
            <w:pPr>
              <w:jc w:val="center"/>
              <w:rPr>
                <w:rFonts w:hint="eastAsia" w:ascii="仿宋" w:hAnsi="仿宋" w:eastAsia="仿宋" w:cs="仿宋"/>
                <w:sz w:val="28"/>
                <w:szCs w:val="28"/>
                <w:highlight w:val="none"/>
              </w:rPr>
            </w:pPr>
          </w:p>
        </w:tc>
        <w:tc>
          <w:tcPr>
            <w:tcW w:w="2062" w:type="dxa"/>
            <w:noWrap w:val="0"/>
            <w:vAlign w:val="center"/>
          </w:tcPr>
          <w:p w14:paraId="27AD940A">
            <w:pPr>
              <w:jc w:val="center"/>
              <w:rPr>
                <w:rFonts w:hint="eastAsia" w:ascii="仿宋" w:hAnsi="仿宋" w:eastAsia="仿宋" w:cs="仿宋"/>
                <w:sz w:val="28"/>
                <w:szCs w:val="28"/>
                <w:highlight w:val="none"/>
              </w:rPr>
            </w:pPr>
          </w:p>
        </w:tc>
      </w:tr>
      <w:tr w14:paraId="27093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6C4AAB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368" w:type="dxa"/>
            <w:noWrap w:val="0"/>
            <w:vAlign w:val="center"/>
          </w:tcPr>
          <w:p w14:paraId="108CB112">
            <w:pPr>
              <w:jc w:val="center"/>
              <w:rPr>
                <w:rFonts w:hint="eastAsia" w:ascii="仿宋" w:hAnsi="仿宋" w:eastAsia="仿宋" w:cs="仿宋"/>
                <w:sz w:val="28"/>
                <w:szCs w:val="28"/>
                <w:highlight w:val="none"/>
              </w:rPr>
            </w:pPr>
          </w:p>
        </w:tc>
        <w:tc>
          <w:tcPr>
            <w:tcW w:w="2813" w:type="dxa"/>
            <w:noWrap w:val="0"/>
            <w:vAlign w:val="center"/>
          </w:tcPr>
          <w:p w14:paraId="76D55FD7">
            <w:pPr>
              <w:jc w:val="center"/>
              <w:rPr>
                <w:rFonts w:hint="eastAsia" w:ascii="仿宋" w:hAnsi="仿宋" w:eastAsia="仿宋" w:cs="仿宋"/>
                <w:sz w:val="28"/>
                <w:szCs w:val="28"/>
                <w:highlight w:val="none"/>
              </w:rPr>
            </w:pPr>
          </w:p>
        </w:tc>
        <w:tc>
          <w:tcPr>
            <w:tcW w:w="1125" w:type="dxa"/>
            <w:noWrap w:val="0"/>
            <w:vAlign w:val="center"/>
          </w:tcPr>
          <w:p w14:paraId="744FEF8A">
            <w:pPr>
              <w:jc w:val="center"/>
              <w:rPr>
                <w:rFonts w:hint="eastAsia" w:ascii="仿宋" w:hAnsi="仿宋" w:eastAsia="仿宋" w:cs="仿宋"/>
                <w:sz w:val="28"/>
                <w:szCs w:val="28"/>
                <w:highlight w:val="none"/>
              </w:rPr>
            </w:pPr>
          </w:p>
        </w:tc>
        <w:tc>
          <w:tcPr>
            <w:tcW w:w="2062" w:type="dxa"/>
            <w:noWrap w:val="0"/>
            <w:vAlign w:val="center"/>
          </w:tcPr>
          <w:p w14:paraId="2A17C147">
            <w:pPr>
              <w:jc w:val="center"/>
              <w:rPr>
                <w:rFonts w:hint="eastAsia" w:ascii="仿宋" w:hAnsi="仿宋" w:eastAsia="仿宋" w:cs="仿宋"/>
                <w:sz w:val="28"/>
                <w:szCs w:val="28"/>
                <w:highlight w:val="none"/>
              </w:rPr>
            </w:pPr>
          </w:p>
        </w:tc>
      </w:tr>
      <w:tr w14:paraId="7B396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89E213">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368" w:type="dxa"/>
            <w:noWrap w:val="0"/>
            <w:vAlign w:val="center"/>
          </w:tcPr>
          <w:p w14:paraId="32285CCE">
            <w:pPr>
              <w:jc w:val="center"/>
              <w:rPr>
                <w:rFonts w:hint="eastAsia" w:ascii="仿宋" w:hAnsi="仿宋" w:eastAsia="仿宋" w:cs="仿宋"/>
                <w:sz w:val="28"/>
                <w:szCs w:val="28"/>
                <w:highlight w:val="none"/>
              </w:rPr>
            </w:pPr>
          </w:p>
        </w:tc>
        <w:tc>
          <w:tcPr>
            <w:tcW w:w="2813" w:type="dxa"/>
            <w:noWrap w:val="0"/>
            <w:vAlign w:val="center"/>
          </w:tcPr>
          <w:p w14:paraId="196A2C70">
            <w:pPr>
              <w:jc w:val="center"/>
              <w:rPr>
                <w:rFonts w:hint="eastAsia" w:ascii="仿宋" w:hAnsi="仿宋" w:eastAsia="仿宋" w:cs="仿宋"/>
                <w:sz w:val="28"/>
                <w:szCs w:val="28"/>
                <w:highlight w:val="none"/>
              </w:rPr>
            </w:pPr>
          </w:p>
        </w:tc>
        <w:tc>
          <w:tcPr>
            <w:tcW w:w="1125" w:type="dxa"/>
            <w:noWrap w:val="0"/>
            <w:vAlign w:val="center"/>
          </w:tcPr>
          <w:p w14:paraId="1F1FF5EC">
            <w:pPr>
              <w:jc w:val="center"/>
              <w:rPr>
                <w:rFonts w:hint="eastAsia" w:ascii="仿宋" w:hAnsi="仿宋" w:eastAsia="仿宋" w:cs="仿宋"/>
                <w:sz w:val="28"/>
                <w:szCs w:val="28"/>
                <w:highlight w:val="none"/>
              </w:rPr>
            </w:pPr>
          </w:p>
        </w:tc>
        <w:tc>
          <w:tcPr>
            <w:tcW w:w="2062" w:type="dxa"/>
            <w:noWrap w:val="0"/>
            <w:vAlign w:val="center"/>
          </w:tcPr>
          <w:p w14:paraId="176D0637">
            <w:pPr>
              <w:jc w:val="center"/>
              <w:rPr>
                <w:rFonts w:hint="eastAsia" w:ascii="仿宋" w:hAnsi="仿宋" w:eastAsia="仿宋" w:cs="仿宋"/>
                <w:sz w:val="28"/>
                <w:szCs w:val="28"/>
                <w:highlight w:val="none"/>
              </w:rPr>
            </w:pPr>
          </w:p>
        </w:tc>
      </w:tr>
    </w:tbl>
    <w:p w14:paraId="1793E492">
      <w:pPr>
        <w:pStyle w:val="14"/>
        <w:jc w:val="center"/>
        <w:outlineLvl w:val="3"/>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投标人业绩情况表</w:t>
      </w:r>
    </w:p>
    <w:p w14:paraId="793983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根据上述业绩情况，按</w:t>
      </w:r>
      <w:r>
        <w:rPr>
          <w:rFonts w:hint="eastAsia" w:ascii="仿宋" w:hAnsi="仿宋" w:eastAsia="仿宋" w:cs="仿宋"/>
          <w:b w:val="0"/>
          <w:bCs w:val="0"/>
          <w:sz w:val="24"/>
          <w:szCs w:val="24"/>
          <w:highlight w:val="none"/>
          <w:lang w:val="en-US" w:eastAsia="zh-CN"/>
        </w:rPr>
        <w:t>采购</w:t>
      </w:r>
      <w:r>
        <w:rPr>
          <w:rFonts w:hint="eastAsia" w:ascii="仿宋" w:hAnsi="仿宋" w:eastAsia="仿宋" w:cs="仿宋"/>
          <w:b w:val="0"/>
          <w:bCs w:val="0"/>
          <w:sz w:val="24"/>
          <w:szCs w:val="24"/>
          <w:highlight w:val="none"/>
        </w:rPr>
        <w:t>文件要求附销售或服务合同复印件及评审标准要求的证明材料</w:t>
      </w:r>
    </w:p>
    <w:p w14:paraId="0D15AB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ighlight w:val="none"/>
          <w:lang w:val="en-US" w:eastAsia="zh-CN"/>
        </w:rPr>
      </w:pPr>
      <w:r>
        <w:rPr>
          <w:rFonts w:hint="eastAsia" w:ascii="仿宋" w:hAnsi="仿宋" w:eastAsia="仿宋" w:cs="仿宋"/>
          <w:b w:val="0"/>
          <w:bCs w:val="0"/>
          <w:sz w:val="24"/>
          <w:szCs w:val="24"/>
          <w:highlight w:val="none"/>
        </w:rPr>
        <w:t>注：提供合同复印件（包含但不限于合同甲乙双方名称、合同名称、涉及</w:t>
      </w:r>
      <w:r>
        <w:rPr>
          <w:rFonts w:hint="eastAsia" w:ascii="仿宋" w:hAnsi="仿宋" w:eastAsia="仿宋" w:cs="仿宋"/>
          <w:b w:val="0"/>
          <w:bCs w:val="0"/>
          <w:sz w:val="24"/>
          <w:szCs w:val="24"/>
          <w:highlight w:val="none"/>
          <w:lang w:val="en-US" w:eastAsia="zh-CN"/>
        </w:rPr>
        <w:t>服务</w:t>
      </w:r>
      <w:r>
        <w:rPr>
          <w:rFonts w:hint="eastAsia" w:ascii="仿宋" w:hAnsi="仿宋" w:eastAsia="仿宋" w:cs="仿宋"/>
          <w:b w:val="0"/>
          <w:bCs w:val="0"/>
          <w:sz w:val="24"/>
          <w:szCs w:val="24"/>
          <w:highlight w:val="none"/>
        </w:rPr>
        <w:t>的名称等内容、签订合同时间、甲乙双方公章等关键信息），同时，需提供相应的发票复印件，原件备查。未提供、显示模糊或资料不符合要求的不得分。</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7F77D6E9">
      <w:pPr>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br w:type="page"/>
      </w:r>
    </w:p>
    <w:p w14:paraId="7823FD34">
      <w:pPr>
        <w:pStyle w:val="3"/>
        <w:keepNext w:val="0"/>
        <w:keepLines w:val="0"/>
        <w:pageBreakBefore w:val="0"/>
        <w:widowControl w:val="0"/>
        <w:numPr>
          <w:ilvl w:val="0"/>
          <w:numId w:val="0"/>
        </w:numPr>
        <w:kinsoku/>
        <w:wordWrap/>
        <w:overflowPunct/>
        <w:topLinePunct w:val="0"/>
        <w:autoSpaceDE/>
        <w:autoSpaceDN/>
        <w:bidi w:val="0"/>
        <w:adjustRightInd/>
        <w:snapToGrid/>
        <w:spacing w:after="0" w:line="84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4.</w:t>
      </w:r>
      <w:r>
        <w:rPr>
          <w:rFonts w:hint="eastAsia" w:ascii="楷体_GB2312" w:hAnsi="楷体_GB2312" w:eastAsia="楷体_GB2312" w:cs="楷体_GB2312"/>
          <w:sz w:val="32"/>
          <w:szCs w:val="32"/>
          <w:highlight w:val="none"/>
          <w:lang w:val="en-US" w:eastAsia="zh-CN"/>
        </w:rPr>
        <w:t>相关经营范围</w:t>
      </w:r>
    </w:p>
    <w:p w14:paraId="71B491E4">
      <w:pPr>
        <w:pStyle w:val="4"/>
        <w:keepNext w:val="0"/>
        <w:keepLines w:val="0"/>
        <w:pageBreakBefore w:val="0"/>
        <w:widowControl w:val="0"/>
        <w:numPr>
          <w:ilvl w:val="0"/>
          <w:numId w:val="0"/>
        </w:numPr>
        <w:kinsoku/>
        <w:wordWrap/>
        <w:overflowPunct/>
        <w:topLinePunct w:val="0"/>
        <w:autoSpaceDE/>
        <w:autoSpaceDN/>
        <w:bidi w:val="0"/>
        <w:adjustRightInd/>
        <w:snapToGrid/>
        <w:spacing w:line="840" w:lineRule="auto"/>
        <w:jc w:val="center"/>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（格式内容自拟）</w:t>
      </w:r>
    </w:p>
    <w:p w14:paraId="77487251">
      <w:pPr>
        <w:pStyle w:val="3"/>
        <w:keepNext w:val="0"/>
        <w:keepLines w:val="0"/>
        <w:pageBreakBefore w:val="0"/>
        <w:widowControl w:val="0"/>
        <w:numPr>
          <w:ilvl w:val="0"/>
          <w:numId w:val="0"/>
        </w:numPr>
        <w:kinsoku/>
        <w:wordWrap/>
        <w:overflowPunct/>
        <w:topLinePunct w:val="0"/>
        <w:autoSpaceDE/>
        <w:autoSpaceDN/>
        <w:bidi w:val="0"/>
        <w:adjustRightInd/>
        <w:snapToGrid/>
        <w:spacing w:after="0" w:line="84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5.样品演示</w:t>
      </w:r>
    </w:p>
    <w:p w14:paraId="15E12AF3">
      <w:pPr>
        <w:pStyle w:val="3"/>
        <w:keepNext w:val="0"/>
        <w:keepLines w:val="0"/>
        <w:pageBreakBefore w:val="0"/>
        <w:widowControl w:val="0"/>
        <w:numPr>
          <w:ilvl w:val="0"/>
          <w:numId w:val="0"/>
        </w:numPr>
        <w:kinsoku/>
        <w:wordWrap/>
        <w:overflowPunct/>
        <w:topLinePunct w:val="0"/>
        <w:autoSpaceDE/>
        <w:autoSpaceDN/>
        <w:bidi w:val="0"/>
        <w:adjustRightInd/>
        <w:snapToGrid/>
        <w:spacing w:after="0" w:line="840" w:lineRule="auto"/>
        <w:ind w:firstLine="640" w:firstLineChars="20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（提供样品）</w:t>
      </w:r>
    </w:p>
    <w:p w14:paraId="36D0798C">
      <w:pPr>
        <w:pStyle w:val="3"/>
        <w:keepNext w:val="0"/>
        <w:keepLines w:val="0"/>
        <w:pageBreakBefore w:val="0"/>
        <w:widowControl w:val="0"/>
        <w:numPr>
          <w:ilvl w:val="0"/>
          <w:numId w:val="0"/>
        </w:numPr>
        <w:kinsoku/>
        <w:wordWrap/>
        <w:overflowPunct/>
        <w:topLinePunct w:val="0"/>
        <w:autoSpaceDE/>
        <w:autoSpaceDN/>
        <w:bidi w:val="0"/>
        <w:adjustRightInd/>
        <w:snapToGrid/>
        <w:spacing w:after="0" w:line="840" w:lineRule="auto"/>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6.灯笼、国旗送达保障措施方案</w:t>
      </w:r>
    </w:p>
    <w:p w14:paraId="2BDA2BCF">
      <w:pPr>
        <w:pStyle w:val="3"/>
        <w:keepNext w:val="0"/>
        <w:keepLines w:val="0"/>
        <w:pageBreakBefore w:val="0"/>
        <w:widowControl w:val="0"/>
        <w:numPr>
          <w:ilvl w:val="0"/>
          <w:numId w:val="0"/>
        </w:numPr>
        <w:kinsoku/>
        <w:wordWrap/>
        <w:overflowPunct/>
        <w:topLinePunct w:val="0"/>
        <w:autoSpaceDE/>
        <w:autoSpaceDN/>
        <w:bidi w:val="0"/>
        <w:adjustRightInd/>
        <w:snapToGrid/>
        <w:spacing w:after="0" w:line="84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（格式内容自拟）</w:t>
      </w:r>
    </w:p>
    <w:p w14:paraId="4593D37D">
      <w:pPr>
        <w:pStyle w:val="3"/>
        <w:keepNext w:val="0"/>
        <w:keepLines w:val="0"/>
        <w:pageBreakBefore w:val="0"/>
        <w:widowControl w:val="0"/>
        <w:numPr>
          <w:ilvl w:val="0"/>
          <w:numId w:val="0"/>
        </w:numPr>
        <w:kinsoku/>
        <w:wordWrap/>
        <w:overflowPunct/>
        <w:topLinePunct w:val="0"/>
        <w:autoSpaceDE/>
        <w:autoSpaceDN/>
        <w:bidi w:val="0"/>
        <w:adjustRightInd/>
        <w:snapToGrid/>
        <w:spacing w:after="0" w:line="840" w:lineRule="auto"/>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7.</w:t>
      </w:r>
      <w:r>
        <w:rPr>
          <w:rFonts w:hint="eastAsia" w:ascii="楷体_GB2312" w:hAnsi="楷体_GB2312" w:eastAsia="楷体_GB2312" w:cs="楷体_GB2312"/>
          <w:sz w:val="32"/>
          <w:szCs w:val="32"/>
          <w:highlight w:val="none"/>
          <w:lang w:val="en-US" w:eastAsia="zh-CN"/>
        </w:rPr>
        <w:t>违约承诺</w:t>
      </w:r>
    </w:p>
    <w:p w14:paraId="7B6192DE">
      <w:pPr>
        <w:pStyle w:val="3"/>
        <w:keepNext w:val="0"/>
        <w:keepLines w:val="0"/>
        <w:pageBreakBefore w:val="0"/>
        <w:widowControl w:val="0"/>
        <w:numPr>
          <w:ilvl w:val="0"/>
          <w:numId w:val="0"/>
        </w:numPr>
        <w:kinsoku/>
        <w:wordWrap/>
        <w:overflowPunct/>
        <w:topLinePunct w:val="0"/>
        <w:autoSpaceDE/>
        <w:autoSpaceDN/>
        <w:bidi w:val="0"/>
        <w:adjustRightInd/>
        <w:snapToGrid/>
        <w:spacing w:after="0" w:line="84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637E6463">
      <w:pPr>
        <w:pStyle w:val="3"/>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p>
    <w:p w14:paraId="40B4935A">
      <w:pPr>
        <w:pStyle w:val="10"/>
        <w:rPr>
          <w:rFonts w:hint="eastAsia"/>
          <w:highlight w:val="none"/>
          <w:lang w:val="en-US" w:eastAsia="zh-CN"/>
        </w:rPr>
      </w:pPr>
    </w:p>
    <w:p w14:paraId="1AE597BE">
      <w:pPr>
        <w:pStyle w:val="10"/>
        <w:rPr>
          <w:rFonts w:hint="eastAsia"/>
          <w:highlight w:val="none"/>
          <w:lang w:val="en-US" w:eastAsia="zh-CN"/>
        </w:rPr>
        <w:sectPr>
          <w:pgSz w:w="11906" w:h="16838"/>
          <w:pgMar w:top="2098" w:right="1417" w:bottom="1984" w:left="1587" w:header="851" w:footer="992" w:gutter="0"/>
          <w:cols w:space="425" w:num="1"/>
          <w:docGrid w:type="lines" w:linePitch="312" w:charSpace="0"/>
        </w:sectPr>
      </w:pPr>
    </w:p>
    <w:p w14:paraId="6B08B8D0">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8.投标报价一览表</w:t>
      </w:r>
    </w:p>
    <w:p w14:paraId="271815BA">
      <w:pPr>
        <w:pStyle w:val="2"/>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1A0C0D2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深圳市龙华环境有限公司城市管家项目2026年节日灯笼国旗等装饰物采购</w:t>
      </w:r>
      <w:r>
        <w:rPr>
          <w:rFonts w:hint="eastAsia" w:ascii="仿宋_GB2312" w:hAnsi="仿宋_GB2312" w:eastAsia="仿宋_GB2312" w:cs="仿宋_GB2312"/>
          <w:sz w:val="32"/>
          <w:szCs w:val="32"/>
          <w:highlight w:val="none"/>
        </w:rPr>
        <w:t>的报价见下表所列：</w:t>
      </w:r>
    </w:p>
    <w:tbl>
      <w:tblPr>
        <w:tblStyle w:val="11"/>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7"/>
        <w:gridCol w:w="1433"/>
        <w:gridCol w:w="2017"/>
        <w:gridCol w:w="2620"/>
      </w:tblGrid>
      <w:tr w14:paraId="30CA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692" w:type="pct"/>
            <w:vMerge w:val="restart"/>
            <w:noWrap w:val="0"/>
            <w:vAlign w:val="center"/>
          </w:tcPr>
          <w:p w14:paraId="578C03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采购项目</w:t>
            </w:r>
          </w:p>
        </w:tc>
        <w:tc>
          <w:tcPr>
            <w:tcW w:w="3307" w:type="pct"/>
            <w:gridSpan w:val="3"/>
            <w:noWrap w:val="0"/>
            <w:vAlign w:val="center"/>
          </w:tcPr>
          <w:p w14:paraId="770975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深圳市龙华环境有限公司城市管家项目2026年节日灯笼国旗等装饰物采购</w:t>
            </w:r>
          </w:p>
        </w:tc>
      </w:tr>
      <w:tr w14:paraId="5A87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692" w:type="pct"/>
            <w:vMerge w:val="continue"/>
            <w:noWrap w:val="0"/>
            <w:vAlign w:val="center"/>
          </w:tcPr>
          <w:p w14:paraId="179364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8"/>
                <w:szCs w:val="28"/>
                <w:highlight w:val="none"/>
                <w:lang w:val="en-US" w:eastAsia="zh-CN" w:bidi="ar-SA"/>
              </w:rPr>
            </w:pPr>
          </w:p>
        </w:tc>
        <w:tc>
          <w:tcPr>
            <w:tcW w:w="780" w:type="pct"/>
            <w:noWrap w:val="0"/>
            <w:vAlign w:val="center"/>
          </w:tcPr>
          <w:p w14:paraId="3EEC34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数量</w:t>
            </w:r>
          </w:p>
          <w:p w14:paraId="2D2793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（个.面）</w:t>
            </w:r>
          </w:p>
        </w:tc>
        <w:tc>
          <w:tcPr>
            <w:tcW w:w="1098" w:type="pct"/>
            <w:noWrap w:val="0"/>
            <w:vAlign w:val="center"/>
          </w:tcPr>
          <w:p w14:paraId="35A724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aps w:val="0"/>
                <w:color w:val="auto"/>
                <w:spacing w:val="0"/>
                <w:sz w:val="28"/>
                <w:szCs w:val="28"/>
                <w:highlight w:val="none"/>
                <w:shd w:val="clear" w:fill="FFFFFF"/>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上限单价</w:t>
            </w:r>
          </w:p>
          <w:p w14:paraId="488EBF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（元/个）</w:t>
            </w:r>
          </w:p>
        </w:tc>
        <w:tc>
          <w:tcPr>
            <w:tcW w:w="1427" w:type="pct"/>
            <w:noWrap w:val="0"/>
            <w:vAlign w:val="center"/>
          </w:tcPr>
          <w:p w14:paraId="703DA6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单价报</w:t>
            </w:r>
            <w:r>
              <w:rPr>
                <w:rFonts w:hint="eastAsia" w:ascii="仿宋_GB2312" w:hAnsi="仿宋_GB2312" w:eastAsia="仿宋_GB2312" w:cs="仿宋_GB2312"/>
                <w:i w:val="0"/>
                <w:iCs w:val="0"/>
                <w:caps w:val="0"/>
                <w:color w:val="auto"/>
                <w:spacing w:val="0"/>
                <w:sz w:val="28"/>
                <w:szCs w:val="28"/>
                <w:highlight w:val="none"/>
                <w:shd w:val="clear" w:fill="FFFFFF"/>
              </w:rPr>
              <w:t>价</w:t>
            </w:r>
          </w:p>
          <w:p w14:paraId="3FBB74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元/个</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p>
        </w:tc>
      </w:tr>
      <w:tr w14:paraId="2516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atLeast"/>
          <w:jc w:val="center"/>
        </w:trPr>
        <w:tc>
          <w:tcPr>
            <w:tcW w:w="1692" w:type="pct"/>
            <w:noWrap w:val="0"/>
            <w:vAlign w:val="center"/>
          </w:tcPr>
          <w:p w14:paraId="45C94F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aps w:val="0"/>
                <w:color w:val="auto"/>
                <w:spacing w:val="0"/>
                <w:sz w:val="28"/>
                <w:szCs w:val="28"/>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40寸灯笼</w:t>
            </w:r>
          </w:p>
          <w:p w14:paraId="1FA495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（含灯笼组配套钢丝、卡扣等耗材，及租赁18WT8防爆防水纳米灯管光源费用）</w:t>
            </w:r>
          </w:p>
        </w:tc>
        <w:tc>
          <w:tcPr>
            <w:tcW w:w="780" w:type="pct"/>
            <w:noWrap w:val="0"/>
            <w:vAlign w:val="center"/>
          </w:tcPr>
          <w:p w14:paraId="5AD285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3032</w:t>
            </w:r>
          </w:p>
        </w:tc>
        <w:tc>
          <w:tcPr>
            <w:tcW w:w="1098" w:type="pct"/>
            <w:noWrap w:val="0"/>
            <w:vAlign w:val="center"/>
          </w:tcPr>
          <w:p w14:paraId="27A17A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108.3</w:t>
            </w:r>
          </w:p>
        </w:tc>
        <w:tc>
          <w:tcPr>
            <w:tcW w:w="1427" w:type="pct"/>
            <w:noWrap w:val="0"/>
            <w:vAlign w:val="center"/>
          </w:tcPr>
          <w:p w14:paraId="2EC42B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p>
        </w:tc>
      </w:tr>
      <w:tr w14:paraId="1604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1692" w:type="pct"/>
            <w:noWrap w:val="0"/>
            <w:vAlign w:val="center"/>
          </w:tcPr>
          <w:p w14:paraId="35F842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48寸灯笼</w:t>
            </w:r>
          </w:p>
          <w:p w14:paraId="2E7B97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（含灯笼组配套钢丝、卡扣等耗材，及租赁18WT8防爆防水纳米灯管光源费用）</w:t>
            </w:r>
          </w:p>
        </w:tc>
        <w:tc>
          <w:tcPr>
            <w:tcW w:w="780" w:type="pct"/>
            <w:noWrap w:val="0"/>
            <w:vAlign w:val="center"/>
          </w:tcPr>
          <w:p w14:paraId="595CE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highlight w:val="none"/>
                <w:lang w:val="en-US" w:eastAsia="zh-CN"/>
              </w:rPr>
            </w:pP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1353</w:t>
            </w:r>
          </w:p>
        </w:tc>
        <w:tc>
          <w:tcPr>
            <w:tcW w:w="1098" w:type="pct"/>
            <w:noWrap w:val="0"/>
            <w:vAlign w:val="center"/>
          </w:tcPr>
          <w:p w14:paraId="1BC657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125</w:t>
            </w:r>
          </w:p>
        </w:tc>
        <w:tc>
          <w:tcPr>
            <w:tcW w:w="1427" w:type="pct"/>
            <w:noWrap w:val="0"/>
            <w:vAlign w:val="center"/>
          </w:tcPr>
          <w:p w14:paraId="17FBCD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p>
        </w:tc>
      </w:tr>
      <w:tr w14:paraId="17A1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692" w:type="pct"/>
            <w:noWrap w:val="0"/>
            <w:vAlign w:val="center"/>
          </w:tcPr>
          <w:p w14:paraId="1917D8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小号灯笼</w:t>
            </w:r>
          </w:p>
          <w:p w14:paraId="566C63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（含灯笼组配套钢丝、卡扣等耗材）</w:t>
            </w:r>
          </w:p>
        </w:tc>
        <w:tc>
          <w:tcPr>
            <w:tcW w:w="780" w:type="pct"/>
            <w:noWrap w:val="0"/>
            <w:vAlign w:val="center"/>
          </w:tcPr>
          <w:p w14:paraId="3528AF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highlight w:val="none"/>
                <w:lang w:val="en-US" w:eastAsia="zh-CN"/>
              </w:rPr>
            </w:pP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1650</w:t>
            </w:r>
          </w:p>
        </w:tc>
        <w:tc>
          <w:tcPr>
            <w:tcW w:w="1098" w:type="pct"/>
            <w:noWrap w:val="0"/>
            <w:vAlign w:val="center"/>
          </w:tcPr>
          <w:p w14:paraId="57ED6E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10</w:t>
            </w:r>
          </w:p>
        </w:tc>
        <w:tc>
          <w:tcPr>
            <w:tcW w:w="1427" w:type="pct"/>
            <w:noWrap w:val="0"/>
            <w:vAlign w:val="center"/>
          </w:tcPr>
          <w:p w14:paraId="0F0FCB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p>
        </w:tc>
      </w:tr>
      <w:tr w14:paraId="507B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1692" w:type="pct"/>
            <w:noWrap w:val="0"/>
            <w:vAlign w:val="center"/>
          </w:tcPr>
          <w:p w14:paraId="420094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2号国旗及3号国旗</w:t>
            </w:r>
          </w:p>
          <w:p w14:paraId="543DF3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（含国旗组配套钢丝、卡扣等耗材，及租赁不锈钢旗杆费用）</w:t>
            </w:r>
          </w:p>
        </w:tc>
        <w:tc>
          <w:tcPr>
            <w:tcW w:w="780" w:type="pct"/>
            <w:noWrap w:val="0"/>
            <w:vAlign w:val="center"/>
          </w:tcPr>
          <w:p w14:paraId="5CD482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2769</w:t>
            </w:r>
          </w:p>
        </w:tc>
        <w:tc>
          <w:tcPr>
            <w:tcW w:w="1098" w:type="pct"/>
            <w:noWrap w:val="0"/>
            <w:vAlign w:val="center"/>
          </w:tcPr>
          <w:p w14:paraId="1737E3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pPr>
            <w:r>
              <w:rPr>
                <w:rFonts w:hint="default" w:ascii="仿宋_GB2312" w:hAnsi="仿宋_GB2312" w:eastAsia="仿宋_GB2312" w:cs="仿宋_GB2312"/>
                <w:i w:val="0"/>
                <w:iCs w:val="0"/>
                <w:caps w:val="0"/>
                <w:color w:val="auto"/>
                <w:spacing w:val="0"/>
                <w:kern w:val="0"/>
                <w:sz w:val="28"/>
                <w:szCs w:val="28"/>
                <w:highlight w:val="none"/>
                <w:shd w:val="clear" w:fill="FFFFFF"/>
                <w:lang w:val="en-US" w:eastAsia="zh-CN" w:bidi="ar"/>
              </w:rPr>
              <w:t>57.6</w:t>
            </w:r>
          </w:p>
        </w:tc>
        <w:tc>
          <w:tcPr>
            <w:tcW w:w="1427" w:type="pct"/>
            <w:noWrap w:val="0"/>
            <w:vAlign w:val="center"/>
          </w:tcPr>
          <w:p w14:paraId="1BE089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p>
        </w:tc>
      </w:tr>
      <w:tr w14:paraId="581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692" w:type="pct"/>
            <w:shd w:val="clear" w:color="auto" w:fill="auto"/>
            <w:noWrap w:val="0"/>
            <w:vAlign w:val="center"/>
          </w:tcPr>
          <w:p w14:paraId="5EF5E1F1">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遴选上限价（万元）</w:t>
            </w:r>
          </w:p>
        </w:tc>
        <w:tc>
          <w:tcPr>
            <w:tcW w:w="3307" w:type="pct"/>
            <w:gridSpan w:val="3"/>
            <w:shd w:val="clear" w:color="auto" w:fill="auto"/>
            <w:noWrap w:val="0"/>
            <w:vAlign w:val="center"/>
          </w:tcPr>
          <w:p w14:paraId="0E9EDC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Cs/>
                <w:kern w:val="2"/>
                <w:sz w:val="28"/>
                <w:szCs w:val="28"/>
                <w:highlight w:val="none"/>
                <w:lang w:val="en-US" w:eastAsia="zh-CN" w:bidi="ar-SA"/>
              </w:rPr>
            </w:pPr>
            <w:r>
              <w:rPr>
                <w:rFonts w:hint="eastAsia" w:ascii="仿宋_GB2312" w:hAnsi="仿宋_GB2312" w:eastAsia="仿宋_GB2312" w:cs="仿宋_GB2312"/>
                <w:i w:val="0"/>
                <w:iCs w:val="0"/>
                <w:caps w:val="0"/>
                <w:color w:val="auto"/>
                <w:spacing w:val="0"/>
                <w:kern w:val="0"/>
                <w:sz w:val="28"/>
                <w:szCs w:val="28"/>
                <w:highlight w:val="none"/>
                <w:shd w:val="clear" w:fill="FFFFFF"/>
                <w:lang w:val="en-US" w:eastAsia="zh-CN" w:bidi="ar"/>
              </w:rPr>
              <w:t>67.4</w:t>
            </w:r>
          </w:p>
        </w:tc>
      </w:tr>
      <w:tr w14:paraId="3A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692" w:type="pct"/>
            <w:shd w:val="clear" w:color="auto" w:fill="auto"/>
            <w:noWrap w:val="0"/>
            <w:vAlign w:val="center"/>
          </w:tcPr>
          <w:p w14:paraId="4BDCE90C">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含税投标总价（万元）</w:t>
            </w:r>
          </w:p>
        </w:tc>
        <w:tc>
          <w:tcPr>
            <w:tcW w:w="3307" w:type="pct"/>
            <w:gridSpan w:val="3"/>
            <w:shd w:val="clear" w:color="auto" w:fill="auto"/>
            <w:noWrap w:val="0"/>
            <w:vAlign w:val="center"/>
          </w:tcPr>
          <w:p w14:paraId="0D50719C">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Cs/>
                <w:kern w:val="2"/>
                <w:sz w:val="28"/>
                <w:szCs w:val="28"/>
                <w:highlight w:val="yellow"/>
                <w:lang w:val="en-US" w:eastAsia="zh-CN" w:bidi="ar-SA"/>
              </w:rPr>
            </w:pPr>
          </w:p>
        </w:tc>
      </w:tr>
      <w:tr w14:paraId="74F2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692" w:type="pct"/>
            <w:shd w:val="clear" w:color="auto" w:fill="auto"/>
            <w:noWrap w:val="0"/>
            <w:vAlign w:val="center"/>
          </w:tcPr>
          <w:p w14:paraId="18394CD8">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备注</w:t>
            </w:r>
          </w:p>
        </w:tc>
        <w:tc>
          <w:tcPr>
            <w:tcW w:w="3307" w:type="pct"/>
            <w:gridSpan w:val="3"/>
            <w:shd w:val="clear" w:color="auto" w:fill="auto"/>
            <w:noWrap w:val="0"/>
            <w:vAlign w:val="center"/>
          </w:tcPr>
          <w:p w14:paraId="24728E7F">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Cs/>
                <w:kern w:val="2"/>
                <w:sz w:val="28"/>
                <w:szCs w:val="28"/>
                <w:highlight w:val="yellow"/>
                <w:lang w:val="en-US" w:eastAsia="zh-CN" w:bidi="ar-SA"/>
              </w:rPr>
            </w:pPr>
            <w:r>
              <w:rPr>
                <w:rFonts w:hint="eastAsia" w:ascii="仿宋_GB2312" w:hAnsi="仿宋_GB2312" w:eastAsia="仿宋_GB2312" w:cs="仿宋_GB2312"/>
                <w:kern w:val="0"/>
                <w:sz w:val="28"/>
                <w:szCs w:val="28"/>
                <w:highlight w:val="none"/>
                <w:lang w:val="en-US" w:eastAsia="zh-CN"/>
              </w:rPr>
              <w:t>增值税率：</w:t>
            </w:r>
            <w:r>
              <w:rPr>
                <w:rFonts w:hint="eastAsia" w:ascii="仿宋_GB2312" w:hAnsi="仿宋_GB2312" w:eastAsia="仿宋_GB2312" w:cs="仿宋_GB2312"/>
                <w:bCs/>
                <w:kern w:val="2"/>
                <w:sz w:val="28"/>
                <w:szCs w:val="28"/>
                <w:highlight w:val="none"/>
                <w:u w:val="single"/>
                <w:lang w:val="en-US" w:eastAsia="zh-CN" w:bidi="ar-SA"/>
              </w:rPr>
              <w:t xml:space="preserve">       </w:t>
            </w:r>
            <w:r>
              <w:rPr>
                <w:rFonts w:hint="eastAsia" w:ascii="仿宋_GB2312" w:hAnsi="仿宋_GB2312" w:eastAsia="仿宋_GB2312" w:cs="仿宋_GB2312"/>
                <w:bCs/>
                <w:kern w:val="2"/>
                <w:sz w:val="28"/>
                <w:szCs w:val="28"/>
                <w:highlight w:val="none"/>
                <w:lang w:val="en-US" w:eastAsia="zh-CN" w:bidi="ar-SA"/>
              </w:rPr>
              <w:t>%</w:t>
            </w:r>
          </w:p>
        </w:tc>
      </w:tr>
    </w:tbl>
    <w:p w14:paraId="51E83176">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3C42EA8F">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45C4A67D">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（2）本项目采用固定单价合同，投标报价单价及总价均不得超过</w:t>
      </w:r>
      <w:r>
        <w:rPr>
          <w:rFonts w:hint="eastAsia" w:ascii="仿宋" w:hAnsi="仿宋" w:eastAsia="仿宋" w:cs="仿宋"/>
          <w:b/>
          <w:bCs/>
          <w:sz w:val="24"/>
          <w:szCs w:val="24"/>
          <w:highlight w:val="none"/>
        </w:rPr>
        <w:t>招标控制价（投标上限价），否则将导致投标被否决，作无效投标处理</w:t>
      </w:r>
      <w:r>
        <w:rPr>
          <w:rFonts w:hint="eastAsia" w:ascii="仿宋" w:hAnsi="仿宋" w:eastAsia="仿宋" w:cs="仿宋"/>
          <w:b/>
          <w:bCs/>
          <w:sz w:val="24"/>
          <w:szCs w:val="24"/>
          <w:highlight w:val="none"/>
          <w:lang w:val="en-US" w:eastAsia="zh-CN"/>
        </w:rPr>
        <w:t>。</w:t>
      </w:r>
    </w:p>
    <w:p w14:paraId="56571FA8">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（3）投标报价中,投标总价金额与依据单价计算出的结果不一致的,以单价报价为准。以上报价包括制作成本、运输装卸成本、法定税费、利润及为完成本项目所需的一切费用。</w:t>
      </w:r>
    </w:p>
    <w:p w14:paraId="6DDCF4BE">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如采购人接受本投标人的投标，本投标人将保证遵循国家和省、市相关法律、法规的要求和公告要求完成相关工作。在正式的合同协议制定和签署前，本报价连同采购人的中标通知书应为约束贵司、我双方的合同文件。</w:t>
      </w:r>
    </w:p>
    <w:p w14:paraId="474E5DD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lang w:val="en-US" w:eastAsia="zh-CN"/>
        </w:rPr>
      </w:pPr>
    </w:p>
    <w:p w14:paraId="2E17AF8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公司名称：</w:t>
      </w:r>
    </w:p>
    <w:p w14:paraId="0CFA06F0">
      <w:pPr>
        <w:pStyle w:val="3"/>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default"/>
          <w:lang w:val="en-US" w:eastAsia="zh-CN"/>
        </w:rPr>
      </w:pPr>
      <w:r>
        <w:rPr>
          <w:rFonts w:hint="eastAsia" w:ascii="仿宋" w:hAnsi="仿宋" w:eastAsia="仿宋" w:cs="仿宋"/>
          <w:b/>
          <w:bCs/>
          <w:sz w:val="24"/>
          <w:szCs w:val="24"/>
          <w:highlight w:val="none"/>
          <w:lang w:val="en-US" w:eastAsia="zh-CN"/>
        </w:rPr>
        <w:t xml:space="preserve">                                      日期：</w:t>
      </w: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AA4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9124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29124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0601"/>
    <w:rsid w:val="010066D7"/>
    <w:rsid w:val="011F73B2"/>
    <w:rsid w:val="0167398B"/>
    <w:rsid w:val="028916DF"/>
    <w:rsid w:val="02973D8B"/>
    <w:rsid w:val="03C84489"/>
    <w:rsid w:val="04441D61"/>
    <w:rsid w:val="048E7480"/>
    <w:rsid w:val="04A942BA"/>
    <w:rsid w:val="04CE3D21"/>
    <w:rsid w:val="052D6C99"/>
    <w:rsid w:val="054B5371"/>
    <w:rsid w:val="05720B50"/>
    <w:rsid w:val="05F652DD"/>
    <w:rsid w:val="06D849E3"/>
    <w:rsid w:val="0741321A"/>
    <w:rsid w:val="07FB708F"/>
    <w:rsid w:val="08050F0E"/>
    <w:rsid w:val="083729D8"/>
    <w:rsid w:val="088B5498"/>
    <w:rsid w:val="08EC0C19"/>
    <w:rsid w:val="096A39B8"/>
    <w:rsid w:val="0BEB51B8"/>
    <w:rsid w:val="0C3873AE"/>
    <w:rsid w:val="0C980E15"/>
    <w:rsid w:val="0ECA5559"/>
    <w:rsid w:val="0F696B20"/>
    <w:rsid w:val="0FA97864"/>
    <w:rsid w:val="0FBD5FC1"/>
    <w:rsid w:val="101F412F"/>
    <w:rsid w:val="10471133"/>
    <w:rsid w:val="10E24DDC"/>
    <w:rsid w:val="11963E18"/>
    <w:rsid w:val="11EE026A"/>
    <w:rsid w:val="121A05A5"/>
    <w:rsid w:val="12B502CE"/>
    <w:rsid w:val="14276FAA"/>
    <w:rsid w:val="148D32B1"/>
    <w:rsid w:val="14F72E20"/>
    <w:rsid w:val="154F4913"/>
    <w:rsid w:val="158F3058"/>
    <w:rsid w:val="15BF393E"/>
    <w:rsid w:val="17084E70"/>
    <w:rsid w:val="17350D7B"/>
    <w:rsid w:val="179E57D5"/>
    <w:rsid w:val="17E65713"/>
    <w:rsid w:val="17FB2C27"/>
    <w:rsid w:val="180C6BE2"/>
    <w:rsid w:val="18F97167"/>
    <w:rsid w:val="19324427"/>
    <w:rsid w:val="19A85B81"/>
    <w:rsid w:val="19F12D60"/>
    <w:rsid w:val="1AC2453B"/>
    <w:rsid w:val="1B1E1106"/>
    <w:rsid w:val="1B505038"/>
    <w:rsid w:val="1B8B187A"/>
    <w:rsid w:val="1C0B5615"/>
    <w:rsid w:val="1C2D64CB"/>
    <w:rsid w:val="1CFE2569"/>
    <w:rsid w:val="1DE8493B"/>
    <w:rsid w:val="1DEF0B38"/>
    <w:rsid w:val="1E01217A"/>
    <w:rsid w:val="1E1C0593"/>
    <w:rsid w:val="1E382C0D"/>
    <w:rsid w:val="1E6A4798"/>
    <w:rsid w:val="1E8043CD"/>
    <w:rsid w:val="1EFF7CD1"/>
    <w:rsid w:val="1FB93F0C"/>
    <w:rsid w:val="20042C9E"/>
    <w:rsid w:val="20E25A74"/>
    <w:rsid w:val="215313DE"/>
    <w:rsid w:val="22821F7B"/>
    <w:rsid w:val="23084EB9"/>
    <w:rsid w:val="23670F4A"/>
    <w:rsid w:val="23764527"/>
    <w:rsid w:val="246C2EE2"/>
    <w:rsid w:val="24AC1531"/>
    <w:rsid w:val="2504136D"/>
    <w:rsid w:val="255C23AC"/>
    <w:rsid w:val="264D6D44"/>
    <w:rsid w:val="267047E0"/>
    <w:rsid w:val="268E7552"/>
    <w:rsid w:val="27952750"/>
    <w:rsid w:val="27C85606"/>
    <w:rsid w:val="27E91EF6"/>
    <w:rsid w:val="28ED26C0"/>
    <w:rsid w:val="29DD1B12"/>
    <w:rsid w:val="2B135FC0"/>
    <w:rsid w:val="2B404781"/>
    <w:rsid w:val="2BAE3DE1"/>
    <w:rsid w:val="2C601C3C"/>
    <w:rsid w:val="2CEF0611"/>
    <w:rsid w:val="2D2307FE"/>
    <w:rsid w:val="2D4C4236"/>
    <w:rsid w:val="2D7828F8"/>
    <w:rsid w:val="2E0D5338"/>
    <w:rsid w:val="2E293BF2"/>
    <w:rsid w:val="2E4F564A"/>
    <w:rsid w:val="2E667FD1"/>
    <w:rsid w:val="2E6966E5"/>
    <w:rsid w:val="2EBE07DF"/>
    <w:rsid w:val="2FFA3A98"/>
    <w:rsid w:val="30980BBB"/>
    <w:rsid w:val="311C359A"/>
    <w:rsid w:val="31232B7B"/>
    <w:rsid w:val="3152504E"/>
    <w:rsid w:val="31A32F06"/>
    <w:rsid w:val="32040E60"/>
    <w:rsid w:val="3278160F"/>
    <w:rsid w:val="35351B86"/>
    <w:rsid w:val="355C6C2F"/>
    <w:rsid w:val="35727C2D"/>
    <w:rsid w:val="35C506A4"/>
    <w:rsid w:val="367A6997"/>
    <w:rsid w:val="36E5519B"/>
    <w:rsid w:val="398B5761"/>
    <w:rsid w:val="398E0DAD"/>
    <w:rsid w:val="39E63965"/>
    <w:rsid w:val="3A323E2F"/>
    <w:rsid w:val="3A444BE2"/>
    <w:rsid w:val="3A4F79F2"/>
    <w:rsid w:val="3A540249"/>
    <w:rsid w:val="3B010619"/>
    <w:rsid w:val="3B9528C7"/>
    <w:rsid w:val="3C3A521C"/>
    <w:rsid w:val="3C6A148A"/>
    <w:rsid w:val="3C7911A9"/>
    <w:rsid w:val="3C8A7F52"/>
    <w:rsid w:val="3CA269AE"/>
    <w:rsid w:val="3CC01353"/>
    <w:rsid w:val="3D257C7B"/>
    <w:rsid w:val="3E2442FF"/>
    <w:rsid w:val="3E287A22"/>
    <w:rsid w:val="3E772758"/>
    <w:rsid w:val="3E7942D9"/>
    <w:rsid w:val="3E7A2248"/>
    <w:rsid w:val="3F6A406B"/>
    <w:rsid w:val="3FBB683C"/>
    <w:rsid w:val="3FD54CB2"/>
    <w:rsid w:val="406C3AB1"/>
    <w:rsid w:val="408175A8"/>
    <w:rsid w:val="40A4535A"/>
    <w:rsid w:val="41E00614"/>
    <w:rsid w:val="41F63994"/>
    <w:rsid w:val="429C453B"/>
    <w:rsid w:val="432E715D"/>
    <w:rsid w:val="4415201F"/>
    <w:rsid w:val="443469F5"/>
    <w:rsid w:val="44911A44"/>
    <w:rsid w:val="456D298D"/>
    <w:rsid w:val="45BE7BC4"/>
    <w:rsid w:val="47160A32"/>
    <w:rsid w:val="473311E6"/>
    <w:rsid w:val="47AA76FA"/>
    <w:rsid w:val="47EA7AF7"/>
    <w:rsid w:val="481C1C7A"/>
    <w:rsid w:val="48BF5427"/>
    <w:rsid w:val="490C2778"/>
    <w:rsid w:val="49BA174B"/>
    <w:rsid w:val="49DB48E8"/>
    <w:rsid w:val="4A6E3B3F"/>
    <w:rsid w:val="4ACD0890"/>
    <w:rsid w:val="4B3C5387"/>
    <w:rsid w:val="4B9A1834"/>
    <w:rsid w:val="4BD801E1"/>
    <w:rsid w:val="4BE27EEC"/>
    <w:rsid w:val="4CEA0588"/>
    <w:rsid w:val="4D587BF8"/>
    <w:rsid w:val="4DB36BDD"/>
    <w:rsid w:val="4DEB6377"/>
    <w:rsid w:val="4E802CCA"/>
    <w:rsid w:val="4E9C50B5"/>
    <w:rsid w:val="4EB52EAD"/>
    <w:rsid w:val="4ECC6E5D"/>
    <w:rsid w:val="4EF456FF"/>
    <w:rsid w:val="4F2F2A4B"/>
    <w:rsid w:val="4F9A0054"/>
    <w:rsid w:val="4FF77D8F"/>
    <w:rsid w:val="500B2D00"/>
    <w:rsid w:val="512F2A1E"/>
    <w:rsid w:val="517D5E7F"/>
    <w:rsid w:val="51B710C6"/>
    <w:rsid w:val="51CC64BF"/>
    <w:rsid w:val="53F57538"/>
    <w:rsid w:val="53FA0B3C"/>
    <w:rsid w:val="55711857"/>
    <w:rsid w:val="559D264C"/>
    <w:rsid w:val="561623FF"/>
    <w:rsid w:val="56E61DD1"/>
    <w:rsid w:val="573E39BB"/>
    <w:rsid w:val="57BE68AA"/>
    <w:rsid w:val="5895585D"/>
    <w:rsid w:val="59654212"/>
    <w:rsid w:val="5A154110"/>
    <w:rsid w:val="5A184997"/>
    <w:rsid w:val="5A9C7376"/>
    <w:rsid w:val="5AFB5FCC"/>
    <w:rsid w:val="5B721E85"/>
    <w:rsid w:val="5D047455"/>
    <w:rsid w:val="5D0B433F"/>
    <w:rsid w:val="5E624433"/>
    <w:rsid w:val="5E826FB6"/>
    <w:rsid w:val="5F603F55"/>
    <w:rsid w:val="5FD72BFF"/>
    <w:rsid w:val="6017124D"/>
    <w:rsid w:val="60D158A0"/>
    <w:rsid w:val="60FF240D"/>
    <w:rsid w:val="62327AB0"/>
    <w:rsid w:val="62481B92"/>
    <w:rsid w:val="62487DE4"/>
    <w:rsid w:val="63100901"/>
    <w:rsid w:val="63283692"/>
    <w:rsid w:val="63BD77D2"/>
    <w:rsid w:val="647A1DAB"/>
    <w:rsid w:val="64A5151D"/>
    <w:rsid w:val="650A63BE"/>
    <w:rsid w:val="6519226D"/>
    <w:rsid w:val="652F4D61"/>
    <w:rsid w:val="65402FF4"/>
    <w:rsid w:val="65E240AB"/>
    <w:rsid w:val="670111AE"/>
    <w:rsid w:val="6732388D"/>
    <w:rsid w:val="683C7568"/>
    <w:rsid w:val="6902703A"/>
    <w:rsid w:val="69FB0E10"/>
    <w:rsid w:val="6A721EA2"/>
    <w:rsid w:val="6B4C508F"/>
    <w:rsid w:val="6BA0659B"/>
    <w:rsid w:val="6C580C23"/>
    <w:rsid w:val="6C923532"/>
    <w:rsid w:val="6D194857"/>
    <w:rsid w:val="6D4713C4"/>
    <w:rsid w:val="6D920165"/>
    <w:rsid w:val="6DE22867"/>
    <w:rsid w:val="6E746F64"/>
    <w:rsid w:val="6EBA3E17"/>
    <w:rsid w:val="6EC86534"/>
    <w:rsid w:val="6F07636D"/>
    <w:rsid w:val="6F4F4AAA"/>
    <w:rsid w:val="6F800BBD"/>
    <w:rsid w:val="70173559"/>
    <w:rsid w:val="709A5CAE"/>
    <w:rsid w:val="70B14A45"/>
    <w:rsid w:val="70D6146D"/>
    <w:rsid w:val="70FA499F"/>
    <w:rsid w:val="71C72AD3"/>
    <w:rsid w:val="71D945B4"/>
    <w:rsid w:val="728D4941"/>
    <w:rsid w:val="72AC7F1B"/>
    <w:rsid w:val="74BB2697"/>
    <w:rsid w:val="750D0B76"/>
    <w:rsid w:val="757271FA"/>
    <w:rsid w:val="769A3F7D"/>
    <w:rsid w:val="77325974"/>
    <w:rsid w:val="775F730A"/>
    <w:rsid w:val="77846D70"/>
    <w:rsid w:val="77D26246"/>
    <w:rsid w:val="784C3D32"/>
    <w:rsid w:val="786A240A"/>
    <w:rsid w:val="78827754"/>
    <w:rsid w:val="79EC639E"/>
    <w:rsid w:val="79FE72AE"/>
    <w:rsid w:val="7B473D7F"/>
    <w:rsid w:val="7C4405BE"/>
    <w:rsid w:val="7C7C44BA"/>
    <w:rsid w:val="7D2C54CF"/>
    <w:rsid w:val="7D5A0C9F"/>
    <w:rsid w:val="7DBD2FDC"/>
    <w:rsid w:val="7E355268"/>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Body Text"/>
    <w:basedOn w:val="1"/>
    <w:next w:val="4"/>
    <w:qFormat/>
    <w:uiPriority w:val="0"/>
    <w:pPr>
      <w:spacing w:after="120"/>
    </w:pPr>
  </w:style>
  <w:style w:type="paragraph" w:styleId="4">
    <w:name w:val="Body Text 2"/>
    <w:basedOn w:val="1"/>
    <w:qFormat/>
    <w:uiPriority w:val="0"/>
    <w:pPr>
      <w:spacing w:line="360" w:lineRule="auto"/>
    </w:pPr>
    <w:rPr>
      <w:sz w:val="24"/>
    </w:rPr>
  </w:style>
  <w:style w:type="paragraph" w:styleId="5">
    <w:name w:val="Body Text Indent"/>
    <w:basedOn w:val="1"/>
    <w:qFormat/>
    <w:uiPriority w:val="0"/>
    <w:pPr>
      <w:spacing w:line="360" w:lineRule="auto"/>
      <w:ind w:firstLine="420" w:firstLineChars="2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99"/>
    <w:pPr>
      <w:spacing w:after="120" w:line="240" w:lineRule="auto"/>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2852</Words>
  <Characters>3024</Characters>
  <Lines>0</Lines>
  <Paragraphs>0</Paragraphs>
  <TotalTime>6</TotalTime>
  <ScaleCrop>false</ScaleCrop>
  <LinksUpToDate>false</LinksUpToDate>
  <CharactersWithSpaces>3129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2025-07-15T08:57:00Z</dcterms:created>
  <dc:creator>SBB</dc:creator>
  <cp:lastModifiedBy>Y</cp:lastModifiedBy>
  <cp:lastPrinted>2025-12-10T00:29:00Z</cp:lastPrinted>
  <dcterms:modified xsi:type="dcterms:W3CDTF">2025-12-10T03:43:05Z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eyJoZGlkIjoiNTExN2IzMGY4Y2EwNTk1NjIwNzJlOGQyNDZjNTdiMjAiLCJ1c2VySWQiOiIyNDk5NDY0NDIifQ==</vt:lpwstr>
  </property>
  <property fmtid="{D5CDD505-2E9C-101B-9397-08002B2CF9AE}" pid="4" name="ICV">
    <vt:lpwstr>E1240F38064C4A33B639515DCD89FCFA</vt:lpwstr>
  </property>
</Properties>
</file>