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53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Style w:val="12"/>
          <w:rFonts w:hint="eastAsia" w:ascii="方正小标宋简体" w:hAnsi="方正小标宋简体" w:eastAsia="方正小标宋简体" w:cs="方正小标宋简体"/>
          <w:b w:val="0"/>
          <w:bCs w:val="0"/>
          <w:i w:val="0"/>
          <w:iCs w:val="0"/>
          <w:caps w:val="0"/>
          <w:color w:val="333333"/>
          <w:spacing w:val="-20"/>
          <w:sz w:val="44"/>
          <w:szCs w:val="44"/>
          <w:shd w:val="clear" w:fill="FFFFFF"/>
          <w:lang w:val="en-US" w:eastAsia="zh-CN"/>
        </w:rPr>
      </w:pPr>
      <w:r>
        <w:rPr>
          <w:rStyle w:val="12"/>
          <w:rFonts w:hint="eastAsia" w:ascii="方正小标宋简体" w:hAnsi="方正小标宋简体" w:eastAsia="方正小标宋简体" w:cs="方正小标宋简体"/>
          <w:b w:val="0"/>
          <w:bCs w:val="0"/>
          <w:i w:val="0"/>
          <w:iCs w:val="0"/>
          <w:caps w:val="0"/>
          <w:color w:val="333333"/>
          <w:spacing w:val="-20"/>
          <w:sz w:val="44"/>
          <w:szCs w:val="44"/>
          <w:shd w:val="clear" w:fill="FFFFFF"/>
          <w:lang w:val="en-US" w:eastAsia="zh-CN"/>
        </w:rPr>
        <w:t>深圳市龙华环境有限公司大浪街道城市管家项目</w:t>
      </w:r>
    </w:p>
    <w:p w14:paraId="307A9E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Style w:val="12"/>
          <w:rFonts w:hint="eastAsia" w:ascii="方正小标宋简体" w:hAnsi="方正小标宋简体" w:eastAsia="方正小标宋简体" w:cs="方正小标宋简体"/>
          <w:b w:val="0"/>
          <w:bCs w:val="0"/>
          <w:i w:val="0"/>
          <w:iCs w:val="0"/>
          <w:caps w:val="0"/>
          <w:color w:val="333333"/>
          <w:spacing w:val="-20"/>
          <w:sz w:val="44"/>
          <w:szCs w:val="44"/>
          <w:shd w:val="clear" w:fill="FFFFFF"/>
          <w:lang w:val="en-US" w:eastAsia="zh-CN"/>
        </w:rPr>
      </w:pPr>
      <w:r>
        <w:rPr>
          <w:rStyle w:val="12"/>
          <w:rFonts w:hint="eastAsia" w:ascii="方正小标宋简体" w:hAnsi="方正小标宋简体" w:eastAsia="方正小标宋简体" w:cs="方正小标宋简体"/>
          <w:b w:val="0"/>
          <w:bCs w:val="0"/>
          <w:i w:val="0"/>
          <w:iCs w:val="0"/>
          <w:caps w:val="0"/>
          <w:color w:val="333333"/>
          <w:spacing w:val="-20"/>
          <w:sz w:val="44"/>
          <w:szCs w:val="44"/>
          <w:shd w:val="clear" w:fill="FFFFFF"/>
          <w:lang w:val="en-US" w:eastAsia="zh-CN"/>
        </w:rPr>
        <w:t>维修管养材料采购公开遴选方案</w:t>
      </w:r>
    </w:p>
    <w:p w14:paraId="18C89FDC">
      <w:pPr>
        <w:pStyle w:val="5"/>
        <w:rPr>
          <w:rFonts w:hint="eastAsia"/>
          <w:lang w:val="en-US" w:eastAsia="zh-CN"/>
        </w:rPr>
      </w:pPr>
      <w:bookmarkStart w:id="0" w:name="_GoBack"/>
      <w:bookmarkEnd w:id="0"/>
    </w:p>
    <w:p w14:paraId="2C034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一、评标细则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6"/>
        <w:gridCol w:w="948"/>
        <w:gridCol w:w="5682"/>
      </w:tblGrid>
      <w:tr w14:paraId="49E2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tcPr>
          <w:p w14:paraId="4EEE4A4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价格部分</w:t>
            </w:r>
          </w:p>
        </w:tc>
        <w:tc>
          <w:tcPr>
            <w:tcW w:w="5682" w:type="dxa"/>
          </w:tcPr>
          <w:p w14:paraId="0B2F145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40分</w:t>
            </w:r>
          </w:p>
        </w:tc>
      </w:tr>
      <w:tr w14:paraId="72E1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vAlign w:val="center"/>
          </w:tcPr>
          <w:p w14:paraId="26179C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报价</w:t>
            </w:r>
          </w:p>
        </w:tc>
        <w:tc>
          <w:tcPr>
            <w:tcW w:w="5682" w:type="dxa"/>
            <w:vAlign w:val="center"/>
          </w:tcPr>
          <w:p w14:paraId="6B43E4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投标人按折扣率进行报价，填报的“折扣率”须满足“0＜折扣率≤1”（最多保留小数点后两位），未按此要求填写将作投标无效处理；（比如投标人报9折，则开标一览表中的“投标折扣率”填写0.9，不得小于0.5）。本项最高得40分。</w:t>
            </w:r>
          </w:p>
          <w:p w14:paraId="73FE09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报价分统一采用低价优先法计算，即满足招标文件要求且折扣率最高者其报价为满分（即基准折扣率）其他投标人的价格分统一按照下列公式计算：</w:t>
            </w:r>
          </w:p>
          <w:p w14:paraId="5410830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投标报价得分=基准折扣率/投标折扣率×40×100%。</w:t>
            </w:r>
          </w:p>
        </w:tc>
      </w:tr>
      <w:tr w14:paraId="2C44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tcPr>
          <w:p w14:paraId="1C5A20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商务部分</w:t>
            </w:r>
          </w:p>
        </w:tc>
        <w:tc>
          <w:tcPr>
            <w:tcW w:w="5682" w:type="dxa"/>
          </w:tcPr>
          <w:p w14:paraId="3088087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35分</w:t>
            </w:r>
          </w:p>
        </w:tc>
      </w:tr>
      <w:tr w14:paraId="2C19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4CA7A34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序</w:t>
            </w:r>
          </w:p>
          <w:p w14:paraId="03A64A3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号</w:t>
            </w:r>
          </w:p>
        </w:tc>
        <w:tc>
          <w:tcPr>
            <w:tcW w:w="946" w:type="dxa"/>
          </w:tcPr>
          <w:p w14:paraId="06C5DA1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w:t>
            </w:r>
          </w:p>
          <w:p w14:paraId="4B460D4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w:t>
            </w:r>
          </w:p>
        </w:tc>
        <w:tc>
          <w:tcPr>
            <w:tcW w:w="948" w:type="dxa"/>
          </w:tcPr>
          <w:p w14:paraId="56BDFD2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分</w:t>
            </w:r>
          </w:p>
          <w:p w14:paraId="1988336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值</w:t>
            </w:r>
          </w:p>
        </w:tc>
        <w:tc>
          <w:tcPr>
            <w:tcW w:w="5682" w:type="dxa"/>
            <w:vAlign w:val="center"/>
          </w:tcPr>
          <w:p w14:paraId="4E8F6A7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评分细则</w:t>
            </w:r>
          </w:p>
        </w:tc>
      </w:tr>
      <w:tr w14:paraId="5986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46" w:type="dxa"/>
            <w:vAlign w:val="center"/>
          </w:tcPr>
          <w:p w14:paraId="3782B3B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946" w:type="dxa"/>
            <w:vAlign w:val="center"/>
          </w:tcPr>
          <w:p w14:paraId="6D35162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营业店面情况</w:t>
            </w:r>
          </w:p>
        </w:tc>
        <w:tc>
          <w:tcPr>
            <w:tcW w:w="948" w:type="dxa"/>
            <w:vAlign w:val="center"/>
          </w:tcPr>
          <w:p w14:paraId="0834C14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vAlign w:val="top"/>
          </w:tcPr>
          <w:p w14:paraId="2CA3091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0D90A0B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240" w:lineRule="auto"/>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1、若投标人在大浪街道范围内有可用营业店面且营业面积超过150平方米的，需提供证明图片、租赁合同或产权证明，得10分；</w:t>
            </w:r>
          </w:p>
          <w:p w14:paraId="5F83647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240" w:lineRule="auto"/>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2、若投标人在大浪街道范围内有可用营业店面的且营业面积超过100平方米低于150平方米的，需提供证明图片、租赁合同或产权证明，得7分；</w:t>
            </w:r>
          </w:p>
          <w:p w14:paraId="76C1611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240" w:lineRule="auto"/>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3、若投标人在大浪街道范围内有可用营业店面的且营业面积低于100平方米的，需提供证明图片、租赁合同或产权证明，得4分；</w:t>
            </w:r>
          </w:p>
          <w:p w14:paraId="6A4221B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0D59AE5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提供证明图片、租赁合同或产权证明相关证明文件，不提供或不满足任一要求的或评审专家无法认定的不得分。招标人保留现场核实的权利，如投标单位提供虚假信息应标，将取消投标单位的中标资格，并且一切责任由投标单位承担。</w:t>
            </w:r>
          </w:p>
        </w:tc>
      </w:tr>
      <w:tr w14:paraId="72F8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6CB1E86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946" w:type="dxa"/>
            <w:shd w:val="clear" w:color="auto" w:fill="auto"/>
            <w:vAlign w:val="center"/>
          </w:tcPr>
          <w:p w14:paraId="51A1FDD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vertAlign w:val="baseline"/>
                <w:lang w:val="en-US" w:eastAsia="zh-CN"/>
              </w:rPr>
              <w:t>拟投入本项目使用的车辆情况</w:t>
            </w:r>
          </w:p>
        </w:tc>
        <w:tc>
          <w:tcPr>
            <w:tcW w:w="948" w:type="dxa"/>
            <w:shd w:val="clear" w:color="auto" w:fill="auto"/>
            <w:vAlign w:val="center"/>
          </w:tcPr>
          <w:p w14:paraId="55D28A5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5682" w:type="dxa"/>
            <w:shd w:val="clear" w:color="auto" w:fill="auto"/>
            <w:vAlign w:val="top"/>
          </w:tcPr>
          <w:p w14:paraId="756E6CF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68883693">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投标人拟使用于本项目的运输货车（车辆类型可为皮卡、轻型厢式货车、面包车）不少于1台。上述车辆为自有或者租赁车辆。本项最高得5分。</w:t>
            </w:r>
          </w:p>
          <w:p w14:paraId="7C1F575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66D2D92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sz w:val="28"/>
                <w:szCs w:val="28"/>
                <w:highlight w:val="none"/>
                <w:vertAlign w:val="baseline"/>
                <w:lang w:val="en-US" w:eastAsia="zh-CN"/>
              </w:rPr>
              <w:t>1.自有车辆需提供车辆行驶证或购置发票复印件，所有权必须属于投标人；租赁车辆需提供车辆行驶证、租赁合同及租赁发票（提供近三个月，即2025年10月至2025年12月）；</w:t>
            </w:r>
          </w:p>
        </w:tc>
      </w:tr>
      <w:tr w14:paraId="4711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3" w:hRule="atLeast"/>
          <w:jc w:val="center"/>
        </w:trPr>
        <w:tc>
          <w:tcPr>
            <w:tcW w:w="946" w:type="dxa"/>
            <w:shd w:val="clear" w:color="auto" w:fill="auto"/>
            <w:vAlign w:val="center"/>
          </w:tcPr>
          <w:p w14:paraId="14BF8FA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3</w:t>
            </w:r>
          </w:p>
        </w:tc>
        <w:tc>
          <w:tcPr>
            <w:tcW w:w="946" w:type="dxa"/>
            <w:shd w:val="clear" w:color="auto" w:fill="auto"/>
            <w:vAlign w:val="center"/>
          </w:tcPr>
          <w:p w14:paraId="076EAA9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同类项目业绩</w:t>
            </w:r>
          </w:p>
        </w:tc>
        <w:tc>
          <w:tcPr>
            <w:tcW w:w="948" w:type="dxa"/>
            <w:shd w:val="clear" w:color="auto" w:fill="auto"/>
            <w:vAlign w:val="center"/>
          </w:tcPr>
          <w:p w14:paraId="3CF13AC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10</w:t>
            </w:r>
          </w:p>
        </w:tc>
        <w:tc>
          <w:tcPr>
            <w:tcW w:w="5682" w:type="dxa"/>
            <w:shd w:val="clear" w:color="auto" w:fill="auto"/>
            <w:vAlign w:val="top"/>
          </w:tcPr>
          <w:p w14:paraId="2F47D81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1D997C4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4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近三年内（自2022年12月1日至投标截止日，以合同签订时间为准）承接过同类项目业绩（同类业绩指合同内容至少包含供货维修材料或五金配件服务），以客户为单位，每提供1个服务客户单位业绩得2分，本项满分得10分，有效合同业绩需提供5项，超过5项的只取前5项。</w:t>
            </w:r>
          </w:p>
          <w:p w14:paraId="6625F88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4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51F22BC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40" w:lineRule="exact"/>
              <w:ind w:left="0" w:leftChars="0" w:right="0" w:rightChars="0" w:firstLine="560" w:firstLineChars="200"/>
              <w:jc w:val="lef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sz w:val="28"/>
                <w:szCs w:val="28"/>
                <w:highlight w:val="none"/>
                <w:lang w:val="en-US" w:eastAsia="zh-CN"/>
              </w:rPr>
              <w:t>同类业绩证明文件是合同复印件及该合同对应开具的任一发票，合同以复印合同的关键页面（含签订合同双方的单位名称、合同项目名称、签订合同双方的落款盖章），投标人无法或未提供相关证明文件不得分。</w:t>
            </w:r>
          </w:p>
        </w:tc>
      </w:tr>
      <w:tr w14:paraId="7163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7ED955D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946" w:type="dxa"/>
            <w:shd w:val="clear" w:color="auto" w:fill="auto"/>
            <w:vAlign w:val="center"/>
          </w:tcPr>
          <w:p w14:paraId="20718AA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企业自有供货人员情况</w:t>
            </w:r>
          </w:p>
        </w:tc>
        <w:tc>
          <w:tcPr>
            <w:tcW w:w="948" w:type="dxa"/>
            <w:shd w:val="clear" w:color="auto" w:fill="auto"/>
            <w:vAlign w:val="center"/>
          </w:tcPr>
          <w:p w14:paraId="11191E6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shd w:val="clear" w:color="auto" w:fill="auto"/>
            <w:vAlign w:val="top"/>
          </w:tcPr>
          <w:p w14:paraId="52F7D73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0826A58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投标人具有：</w:t>
            </w:r>
          </w:p>
          <w:p w14:paraId="0064BD1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1、投入本项目供货人员达到3人或以上；配置人员具有从事维修材料或五金配件供应经验，得10分；</w:t>
            </w:r>
          </w:p>
          <w:p w14:paraId="0351DFA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2、投入本项目供货人员为2人；配置人员具有从事维修材料或五金配件供应经验，得6分；</w:t>
            </w:r>
          </w:p>
          <w:p w14:paraId="1366448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3、投入本项目供货人员为1人；配置人员具有从事维修材料或五金配件供应经验，得2分。</w:t>
            </w:r>
          </w:p>
          <w:p w14:paraId="72F45EF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4、其余情况不得分。</w:t>
            </w:r>
          </w:p>
          <w:p w14:paraId="62083F7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0F2742F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仿宋" w:hAnsi="仿宋" w:eastAsia="仿宋" w:cs="仿宋"/>
                <w:sz w:val="28"/>
                <w:szCs w:val="28"/>
                <w:highlight w:val="none"/>
                <w:lang w:val="en-US" w:eastAsia="zh-CN"/>
              </w:rPr>
              <w:t>提供上述人员投标截止日前三个月内任意一个月载有社保部门公章的社保缴交证明材料，并需同时提供供货人员个人履历表（履历表上需注明供货人员供应经验）并加盖投标人公章。</w:t>
            </w:r>
          </w:p>
        </w:tc>
      </w:tr>
      <w:tr w14:paraId="78B3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3"/>
            <w:shd w:val="clear" w:color="auto" w:fill="auto"/>
            <w:vAlign w:val="top"/>
          </w:tcPr>
          <w:p w14:paraId="75B64EB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技术部分</w:t>
            </w:r>
          </w:p>
        </w:tc>
        <w:tc>
          <w:tcPr>
            <w:tcW w:w="5682" w:type="dxa"/>
            <w:shd w:val="clear" w:color="auto" w:fill="auto"/>
            <w:vAlign w:val="top"/>
          </w:tcPr>
          <w:p w14:paraId="7155097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25分</w:t>
            </w:r>
          </w:p>
        </w:tc>
      </w:tr>
      <w:tr w14:paraId="1438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7D28A7C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序</w:t>
            </w:r>
          </w:p>
          <w:p w14:paraId="5C8E0BC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号</w:t>
            </w:r>
          </w:p>
        </w:tc>
        <w:tc>
          <w:tcPr>
            <w:tcW w:w="946" w:type="dxa"/>
            <w:shd w:val="clear" w:color="auto" w:fill="auto"/>
            <w:vAlign w:val="center"/>
          </w:tcPr>
          <w:p w14:paraId="4830086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w:t>
            </w:r>
          </w:p>
          <w:p w14:paraId="6E89EEF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内容</w:t>
            </w:r>
          </w:p>
        </w:tc>
        <w:tc>
          <w:tcPr>
            <w:tcW w:w="948" w:type="dxa"/>
            <w:shd w:val="clear" w:color="auto" w:fill="auto"/>
            <w:vAlign w:val="center"/>
          </w:tcPr>
          <w:p w14:paraId="000A524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分</w:t>
            </w:r>
          </w:p>
          <w:p w14:paraId="7EF6EF2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值</w:t>
            </w:r>
          </w:p>
        </w:tc>
        <w:tc>
          <w:tcPr>
            <w:tcW w:w="5682" w:type="dxa"/>
            <w:shd w:val="clear" w:color="auto" w:fill="auto"/>
            <w:vAlign w:val="center"/>
          </w:tcPr>
          <w:p w14:paraId="51EDD2E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评分细则</w:t>
            </w:r>
          </w:p>
        </w:tc>
      </w:tr>
      <w:tr w14:paraId="38A2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4661C06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946" w:type="dxa"/>
            <w:shd w:val="clear" w:color="auto" w:fill="auto"/>
            <w:vAlign w:val="center"/>
          </w:tcPr>
          <w:p w14:paraId="3612D87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配送服务方案</w:t>
            </w:r>
          </w:p>
        </w:tc>
        <w:tc>
          <w:tcPr>
            <w:tcW w:w="948" w:type="dxa"/>
            <w:shd w:val="clear" w:color="auto" w:fill="auto"/>
            <w:vAlign w:val="center"/>
          </w:tcPr>
          <w:p w14:paraId="2478A5A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5682" w:type="dxa"/>
            <w:shd w:val="clear" w:color="auto" w:fill="auto"/>
            <w:vAlign w:val="top"/>
          </w:tcPr>
          <w:p w14:paraId="6D55D25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21D6865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1、供货服务方案具体、可行、全面，人员安排及车辆投入合理，供货流程便利快捷的，得10分；</w:t>
            </w:r>
          </w:p>
          <w:p w14:paraId="3339641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2、供货服务方案基本具体、具有一定的可行性、基本全面，有人员安排及车辆投入情况，供货流程缺乏便利性的，得6分；</w:t>
            </w:r>
          </w:p>
          <w:p w14:paraId="6F2F7B9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3、供货服务方案不具体、不具备可行性、不全面，人员安排及车辆投入不合理，供货流程不完善的，得2分；</w:t>
            </w:r>
          </w:p>
          <w:p w14:paraId="3E83E9D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4、未提配送车辆情况或相关方案的，得0分。</w:t>
            </w:r>
          </w:p>
          <w:p w14:paraId="15F86A0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53CBB27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内容格式，投标人自拟。</w:t>
            </w:r>
          </w:p>
        </w:tc>
      </w:tr>
      <w:tr w14:paraId="2881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6" w:hRule="atLeast"/>
          <w:jc w:val="center"/>
        </w:trPr>
        <w:tc>
          <w:tcPr>
            <w:tcW w:w="946" w:type="dxa"/>
            <w:shd w:val="clear" w:color="auto" w:fill="auto"/>
            <w:vAlign w:val="center"/>
          </w:tcPr>
          <w:p w14:paraId="0E0E02C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946" w:type="dxa"/>
            <w:shd w:val="clear" w:color="auto" w:fill="auto"/>
            <w:vAlign w:val="center"/>
          </w:tcPr>
          <w:p w14:paraId="0377B1B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常规配送响应方案</w:t>
            </w:r>
          </w:p>
        </w:tc>
        <w:tc>
          <w:tcPr>
            <w:tcW w:w="948" w:type="dxa"/>
            <w:shd w:val="clear" w:color="auto" w:fill="auto"/>
            <w:vAlign w:val="center"/>
          </w:tcPr>
          <w:p w14:paraId="2CA23CC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5682" w:type="dxa"/>
            <w:shd w:val="clear" w:color="auto" w:fill="auto"/>
            <w:vAlign w:val="top"/>
          </w:tcPr>
          <w:p w14:paraId="46A5A90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5255C64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240" w:lineRule="auto"/>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根据投标人对常规供货货物的响应速度、完成供货承诺时间等因素进行评审进行综合评议及打分：</w:t>
            </w:r>
          </w:p>
          <w:p w14:paraId="3805C4A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240" w:lineRule="auto"/>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1、供应商收到采购人常规供货服务通知后，完成供货承诺时间≤6小时，得5分；</w:t>
            </w:r>
          </w:p>
          <w:p w14:paraId="371DC7C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240" w:lineRule="auto"/>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2、供应商收到采购人常规供货服务通知后，6小时＜完成供货承诺时间≤12小时，得3分；</w:t>
            </w:r>
          </w:p>
          <w:p w14:paraId="1754D2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240" w:lineRule="auto"/>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3、供应商收到采购人常规供货服务通知后，12小时＜完成供货承诺时间≤18小时，得1分；</w:t>
            </w:r>
          </w:p>
          <w:p w14:paraId="25D2AB0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240" w:lineRule="auto"/>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4、供应商收到采购人常规供货服务通知后，18小时＜完成供货承诺时间，得0分。</w:t>
            </w:r>
          </w:p>
          <w:p w14:paraId="3E76738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4A94834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提供常规供货服务时间承诺函，内容格式，投标人自拟。</w:t>
            </w:r>
          </w:p>
        </w:tc>
      </w:tr>
      <w:tr w14:paraId="622B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3C924F8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946" w:type="dxa"/>
            <w:shd w:val="clear" w:color="auto" w:fill="auto"/>
            <w:vAlign w:val="center"/>
          </w:tcPr>
          <w:p w14:paraId="4D9EDA3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应急配送响应方案</w:t>
            </w:r>
          </w:p>
        </w:tc>
        <w:tc>
          <w:tcPr>
            <w:tcW w:w="948" w:type="dxa"/>
            <w:shd w:val="clear" w:color="auto" w:fill="auto"/>
            <w:vAlign w:val="center"/>
          </w:tcPr>
          <w:p w14:paraId="0321EF2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5682" w:type="dxa"/>
            <w:shd w:val="clear" w:color="auto" w:fill="auto"/>
            <w:vAlign w:val="top"/>
          </w:tcPr>
          <w:p w14:paraId="150D4B9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11BE2B1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根据各投标人应急响应便利性，对紧急供货的响应速度、完成供货承诺时间等因素等因素进行综合评议及打分：</w:t>
            </w:r>
          </w:p>
          <w:p w14:paraId="6338900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1、对紧急供货货物的响应迅速，完成供货承诺时间≤0.5小时，得5分；</w:t>
            </w:r>
          </w:p>
          <w:p w14:paraId="14140EB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2、对紧急供货货物的响应及时，0.5小时＜完成供货承诺时间≤1小时，得3分；</w:t>
            </w:r>
          </w:p>
          <w:p w14:paraId="33719E4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3、对紧急供货货物的响应基本及时，1小时＜完成供货承诺时间，得0分。</w:t>
            </w:r>
          </w:p>
          <w:p w14:paraId="56D6558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7B6038E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420" w:lineRule="exact"/>
              <w:ind w:left="0" w:right="0" w:firstLine="560" w:firstLineChars="200"/>
              <w:jc w:val="left"/>
              <w:textAlignment w:val="auto"/>
              <w:rPr>
                <w:rFonts w:hint="default"/>
                <w:lang w:val="en-US" w:eastAsia="zh-CN"/>
              </w:rPr>
            </w:pPr>
            <w:r>
              <w:rPr>
                <w:rFonts w:hint="eastAsia" w:ascii="仿宋" w:hAnsi="仿宋" w:eastAsia="仿宋" w:cs="仿宋"/>
                <w:sz w:val="28"/>
                <w:szCs w:val="28"/>
                <w:highlight w:val="none"/>
                <w:lang w:val="en-US" w:eastAsia="zh-CN"/>
              </w:rPr>
              <w:t>提供应急响应服务时间承诺函，内容格式，投标人自拟。</w:t>
            </w:r>
          </w:p>
        </w:tc>
      </w:tr>
      <w:tr w14:paraId="11E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shd w:val="clear" w:color="auto" w:fill="auto"/>
            <w:vAlign w:val="center"/>
          </w:tcPr>
          <w:p w14:paraId="4295044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946" w:type="dxa"/>
            <w:shd w:val="clear" w:color="auto" w:fill="auto"/>
            <w:vAlign w:val="center"/>
          </w:tcPr>
          <w:p w14:paraId="103B3A9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售后服务方案</w:t>
            </w:r>
          </w:p>
        </w:tc>
        <w:tc>
          <w:tcPr>
            <w:tcW w:w="948" w:type="dxa"/>
            <w:shd w:val="clear" w:color="auto" w:fill="auto"/>
            <w:vAlign w:val="center"/>
          </w:tcPr>
          <w:p w14:paraId="2A337CE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5682" w:type="dxa"/>
            <w:shd w:val="clear" w:color="auto" w:fill="auto"/>
            <w:vAlign w:val="top"/>
          </w:tcPr>
          <w:p w14:paraId="06C940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一.评分内容：</w:t>
            </w:r>
          </w:p>
          <w:p w14:paraId="5B375BD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提供售后保障方案；包括以下内容：需承诺以下全部内容，缺一项不得分，最高得5分；</w:t>
            </w:r>
          </w:p>
          <w:p w14:paraId="3E657A4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1、提供售后质保承诺书（具体质保时间投标人自拟），加盖公章；</w:t>
            </w:r>
          </w:p>
          <w:p w14:paraId="36D6E71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2、提供2小时响应，12小时内处理承诺书，加盖公章；</w:t>
            </w:r>
          </w:p>
          <w:p w14:paraId="7EC64D7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二、评分依据：</w:t>
            </w:r>
          </w:p>
          <w:p w14:paraId="01A932C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vertAlign w:val="baseline"/>
                <w:lang w:val="en-US" w:eastAsia="zh-CN" w:bidi="ar-SA"/>
              </w:rPr>
              <w:t>投标人自拟方案，未提供方案或无法凭所提供资料判断是否得分的情况，一律作不得分处理。</w:t>
            </w:r>
          </w:p>
        </w:tc>
      </w:tr>
    </w:tbl>
    <w:p w14:paraId="7DDD6E84">
      <w:pPr>
        <w:numPr>
          <w:ilvl w:val="0"/>
          <w:numId w:val="0"/>
        </w:numPr>
        <w:rPr>
          <w:rFonts w:hint="eastAsia"/>
          <w:lang w:val="en-US" w:eastAsia="zh-CN"/>
        </w:rPr>
      </w:pPr>
    </w:p>
    <w:p w14:paraId="6CA02C03">
      <w:pPr>
        <w:numPr>
          <w:ilvl w:val="0"/>
          <w:numId w:val="0"/>
        </w:numPr>
        <w:rPr>
          <w:rFonts w:hint="default"/>
          <w:lang w:val="en-US" w:eastAsia="zh-CN"/>
        </w:rPr>
        <w:sectPr>
          <w:footerReference r:id="rId3" w:type="default"/>
          <w:pgSz w:w="11906" w:h="16838"/>
          <w:pgMar w:top="2098" w:right="1474" w:bottom="1984" w:left="1587" w:header="851" w:footer="992" w:gutter="0"/>
          <w:cols w:space="425" w:num="1"/>
          <w:docGrid w:type="lines" w:linePitch="312" w:charSpace="0"/>
        </w:sectPr>
      </w:pPr>
    </w:p>
    <w:p w14:paraId="6C677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二、投标文件组成要求</w:t>
      </w:r>
    </w:p>
    <w:p w14:paraId="1C05E35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0C7E279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604E30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3.营业店面情况</w:t>
      </w:r>
    </w:p>
    <w:p w14:paraId="58060C7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4.拟投入本项目使用的车辆情况</w:t>
      </w:r>
    </w:p>
    <w:p w14:paraId="4AA6F8F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5.同类项目业绩</w:t>
      </w:r>
    </w:p>
    <w:p w14:paraId="3702D01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6.企业自有供货人员情况</w:t>
      </w:r>
    </w:p>
    <w:p w14:paraId="78916FE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7.配送服务方案</w:t>
      </w:r>
    </w:p>
    <w:p w14:paraId="650CC7C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8.常规配送响应方案</w:t>
      </w:r>
    </w:p>
    <w:p w14:paraId="6BB3863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9.应急配送响应方案</w:t>
      </w:r>
    </w:p>
    <w:p w14:paraId="3CFBFC1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10.售后服务方案</w:t>
      </w:r>
    </w:p>
    <w:p w14:paraId="6BB6391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11.投标报价一览表</w:t>
      </w:r>
    </w:p>
    <w:p w14:paraId="1F34DADC">
      <w:pPr>
        <w:pStyle w:val="5"/>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7FE72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2497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1D265D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1B8E33F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76B5595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1D5EBF0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BE0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62808E5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7B51EAD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060572A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6C7B3CD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6FD9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23A21D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0DA1E1E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5B00FF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03E24DB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155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3A62A8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506223A6">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3555522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434CD39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D0C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AE37DC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02EF728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59221DE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2F6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7758F7D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417527E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35F5A0A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A3E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6A33B10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7DA2911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320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A0BCC5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2B4CD62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7BCB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C77C36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3B952EE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24350F9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w:t>
      </w:r>
      <w:r>
        <w:rPr>
          <w:rFonts w:hint="eastAsia" w:ascii="仿宋" w:hAnsi="仿宋" w:eastAsia="仿宋" w:cs="仿宋"/>
          <w:b/>
          <w:bCs/>
          <w:sz w:val="24"/>
          <w:szCs w:val="24"/>
          <w:highlight w:val="none"/>
          <w:lang w:eastAsia="zh-CN"/>
        </w:rPr>
        <w:t>采购</w:t>
      </w:r>
      <w:r>
        <w:rPr>
          <w:rFonts w:hint="eastAsia" w:ascii="仿宋" w:hAnsi="仿宋" w:eastAsia="仿宋" w:cs="仿宋"/>
          <w:b/>
          <w:bCs/>
          <w:sz w:val="24"/>
          <w:szCs w:val="24"/>
          <w:highlight w:val="none"/>
        </w:rPr>
        <w:t>人在相关网站查询结果不一致，将视为投标人存在弄虚作假的情形。</w:t>
      </w:r>
    </w:p>
    <w:p w14:paraId="2A0293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6C96AE0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26068E6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398AD5E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p>
    <w:p w14:paraId="1670B9E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深圳市龙华环境有限公司</w:t>
      </w:r>
      <w:r>
        <w:rPr>
          <w:rFonts w:hint="eastAsia" w:ascii="仿宋_GB2312" w:hAnsi="仿宋_GB2312" w:eastAsia="仿宋_GB2312" w:cs="仿宋_GB2312"/>
          <w:sz w:val="32"/>
          <w:szCs w:val="32"/>
          <w:highlight w:val="none"/>
          <w:u w:val="single"/>
          <w:lang w:val="en-US" w:eastAsia="zh-CN"/>
        </w:rPr>
        <w:t>大浪街道城市管家项目维修管养材料采购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4D4F218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我方接受《深圳市龙华环境有限公司</w:t>
      </w:r>
      <w:r>
        <w:rPr>
          <w:rFonts w:hint="eastAsia" w:ascii="仿宋_GB2312" w:hAnsi="仿宋_GB2312" w:eastAsia="仿宋_GB2312" w:cs="仿宋_GB2312"/>
          <w:sz w:val="32"/>
          <w:szCs w:val="32"/>
          <w:highlight w:val="none"/>
          <w:lang w:val="en-US" w:eastAsia="zh-CN"/>
        </w:rPr>
        <w:t>大浪街道城市管家项目维修管养材料采购</w:t>
      </w:r>
      <w:r>
        <w:rPr>
          <w:rFonts w:hint="eastAsia" w:ascii="仿宋_GB2312" w:hAnsi="仿宋_GB2312" w:eastAsia="仿宋_GB2312" w:cs="仿宋_GB2312"/>
          <w:sz w:val="32"/>
          <w:szCs w:val="32"/>
          <w:highlight w:val="none"/>
        </w:rPr>
        <w:t xml:space="preserve">公开遴选公告》中确定的计价方式，根据企业自身情况，理性报价，不会以低于成本的报价竞争。 </w:t>
      </w:r>
    </w:p>
    <w:p w14:paraId="280667F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737915C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我方承诺履行项目管理班子配备义务，不擅自更换投标文件所报的项目配备人员，如不能继续履行职责确需更换的，所更换人员为我单位职工，其从业资格不低于遴选时承诺条件。 </w:t>
      </w:r>
    </w:p>
    <w:p w14:paraId="206E414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如果违反本承诺书中任何条款，我方愿意接受： </w:t>
      </w:r>
    </w:p>
    <w:p w14:paraId="60E9B36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3F56BA8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679033F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79733FF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6E61C66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p>
    <w:p w14:paraId="62FE0A2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highlight w:val="none"/>
        </w:rPr>
      </w:pPr>
    </w:p>
    <w:p w14:paraId="1CD7154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23DCDF4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3DA8B56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32BB7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45B2D4D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3.营业店面情况</w:t>
      </w:r>
    </w:p>
    <w:p w14:paraId="64998BA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240" w:firstLineChars="7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2A0E26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4.拟投入本项目使用的车辆情况</w:t>
      </w:r>
    </w:p>
    <w:p w14:paraId="19A72C7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240" w:firstLineChars="7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00C6AB0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5.投标人同类项目业绩</w:t>
      </w:r>
    </w:p>
    <w:p w14:paraId="676B247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投标人同类项目业绩一览表</w:t>
      </w:r>
    </w:p>
    <w:p w14:paraId="7A20787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sz w:val="32"/>
          <w:szCs w:val="32"/>
          <w:highlight w:val="none"/>
          <w:lang w:val="en-US" w:eastAsia="zh-CN"/>
        </w:rPr>
      </w:pPr>
    </w:p>
    <w:tbl>
      <w:tblPr>
        <w:tblStyle w:val="9"/>
        <w:tblpPr w:leftFromText="180" w:rightFromText="180" w:vertAnchor="text" w:horzAnchor="page" w:tblpXSpec="center" w:tblpY="132"/>
        <w:tblOverlap w:val="never"/>
        <w:tblW w:w="102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4"/>
        <w:gridCol w:w="1541"/>
        <w:gridCol w:w="1701"/>
        <w:gridCol w:w="1593"/>
        <w:gridCol w:w="1531"/>
        <w:gridCol w:w="1984"/>
        <w:gridCol w:w="1077"/>
      </w:tblGrid>
      <w:tr w14:paraId="48BE0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04" w:type="dxa"/>
            <w:tcBorders>
              <w:tl2br w:val="nil"/>
              <w:tr2bl w:val="nil"/>
            </w:tcBorders>
            <w:noWrap w:val="0"/>
            <w:vAlign w:val="center"/>
          </w:tcPr>
          <w:p w14:paraId="23EC05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541" w:type="dxa"/>
            <w:tcBorders>
              <w:tl2br w:val="nil"/>
              <w:tr2bl w:val="nil"/>
            </w:tcBorders>
            <w:noWrap w:val="0"/>
            <w:vAlign w:val="center"/>
          </w:tcPr>
          <w:p w14:paraId="716D4E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甲方名称</w:t>
            </w:r>
          </w:p>
        </w:tc>
        <w:tc>
          <w:tcPr>
            <w:tcW w:w="1701" w:type="dxa"/>
            <w:tcBorders>
              <w:tl2br w:val="nil"/>
              <w:tr2bl w:val="nil"/>
            </w:tcBorders>
            <w:noWrap w:val="0"/>
            <w:vAlign w:val="center"/>
          </w:tcPr>
          <w:p w14:paraId="7F1C5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名称</w:t>
            </w:r>
          </w:p>
        </w:tc>
        <w:tc>
          <w:tcPr>
            <w:tcW w:w="1593" w:type="dxa"/>
            <w:tcBorders>
              <w:tl2br w:val="nil"/>
              <w:tr2bl w:val="nil"/>
            </w:tcBorders>
            <w:noWrap w:val="0"/>
            <w:vAlign w:val="center"/>
          </w:tcPr>
          <w:p w14:paraId="1A765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业绩内容</w:t>
            </w:r>
          </w:p>
        </w:tc>
        <w:tc>
          <w:tcPr>
            <w:tcW w:w="1531" w:type="dxa"/>
            <w:tcBorders>
              <w:tl2br w:val="nil"/>
              <w:tr2bl w:val="nil"/>
            </w:tcBorders>
            <w:noWrap w:val="0"/>
            <w:vAlign w:val="center"/>
          </w:tcPr>
          <w:p w14:paraId="66AD5E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合同金额</w:t>
            </w:r>
          </w:p>
        </w:tc>
        <w:tc>
          <w:tcPr>
            <w:tcW w:w="1984" w:type="dxa"/>
            <w:tcBorders>
              <w:tl2br w:val="nil"/>
              <w:tr2bl w:val="nil"/>
            </w:tcBorders>
            <w:noWrap w:val="0"/>
            <w:vAlign w:val="center"/>
          </w:tcPr>
          <w:p w14:paraId="5C419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合同签订时间</w:t>
            </w:r>
          </w:p>
        </w:tc>
        <w:tc>
          <w:tcPr>
            <w:tcW w:w="1077" w:type="dxa"/>
            <w:tcBorders>
              <w:tl2br w:val="nil"/>
              <w:tr2bl w:val="nil"/>
            </w:tcBorders>
            <w:noWrap w:val="0"/>
            <w:vAlign w:val="center"/>
          </w:tcPr>
          <w:p w14:paraId="6EBDE3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r>
      <w:tr w14:paraId="3E234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2F128B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541" w:type="dxa"/>
            <w:tcBorders>
              <w:tl2br w:val="nil"/>
              <w:tr2bl w:val="nil"/>
            </w:tcBorders>
            <w:noWrap w:val="0"/>
            <w:vAlign w:val="center"/>
          </w:tcPr>
          <w:p w14:paraId="23E0AD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499FC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6C7151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675ACA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4E1AF1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3EA479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5F1EC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3306D3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541" w:type="dxa"/>
            <w:tcBorders>
              <w:tl2br w:val="nil"/>
              <w:tr2bl w:val="nil"/>
            </w:tcBorders>
            <w:noWrap w:val="0"/>
            <w:vAlign w:val="center"/>
          </w:tcPr>
          <w:p w14:paraId="231DF2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417D3B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7B86C6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581AD9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3F77E3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2EFEF3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71138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2BB84B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541" w:type="dxa"/>
            <w:tcBorders>
              <w:tl2br w:val="nil"/>
              <w:tr2bl w:val="nil"/>
            </w:tcBorders>
            <w:noWrap w:val="0"/>
            <w:vAlign w:val="center"/>
          </w:tcPr>
          <w:p w14:paraId="26C4A5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1A99A8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39791A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01D664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136833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30A19D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4C5B3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686E0C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541" w:type="dxa"/>
            <w:tcBorders>
              <w:tl2br w:val="nil"/>
              <w:tr2bl w:val="nil"/>
            </w:tcBorders>
            <w:noWrap w:val="0"/>
            <w:vAlign w:val="center"/>
          </w:tcPr>
          <w:p w14:paraId="0CAD70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680348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335574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1274F2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69A50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34F615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123A1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804" w:type="dxa"/>
            <w:tcBorders>
              <w:tl2br w:val="nil"/>
              <w:tr2bl w:val="nil"/>
            </w:tcBorders>
            <w:noWrap w:val="0"/>
            <w:vAlign w:val="center"/>
          </w:tcPr>
          <w:p w14:paraId="4BE258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1541" w:type="dxa"/>
            <w:tcBorders>
              <w:tl2br w:val="nil"/>
              <w:tr2bl w:val="nil"/>
            </w:tcBorders>
            <w:noWrap w:val="0"/>
            <w:vAlign w:val="center"/>
          </w:tcPr>
          <w:p w14:paraId="6C7042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701" w:type="dxa"/>
            <w:tcBorders>
              <w:tl2br w:val="nil"/>
              <w:tr2bl w:val="nil"/>
            </w:tcBorders>
            <w:noWrap w:val="0"/>
            <w:vAlign w:val="center"/>
          </w:tcPr>
          <w:p w14:paraId="7C1DE4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93" w:type="dxa"/>
            <w:tcBorders>
              <w:tl2br w:val="nil"/>
              <w:tr2bl w:val="nil"/>
            </w:tcBorders>
            <w:noWrap w:val="0"/>
            <w:vAlign w:val="center"/>
          </w:tcPr>
          <w:p w14:paraId="18349A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531" w:type="dxa"/>
            <w:tcBorders>
              <w:tl2br w:val="nil"/>
              <w:tr2bl w:val="nil"/>
            </w:tcBorders>
            <w:noWrap w:val="0"/>
            <w:vAlign w:val="center"/>
          </w:tcPr>
          <w:p w14:paraId="3DBD0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984" w:type="dxa"/>
            <w:tcBorders>
              <w:tl2br w:val="nil"/>
              <w:tr2bl w:val="nil"/>
            </w:tcBorders>
            <w:noWrap w:val="0"/>
            <w:vAlign w:val="center"/>
          </w:tcPr>
          <w:p w14:paraId="0D41B2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1077" w:type="dxa"/>
            <w:tcBorders>
              <w:tl2br w:val="nil"/>
              <w:tr2bl w:val="nil"/>
            </w:tcBorders>
            <w:noWrap w:val="0"/>
            <w:vAlign w:val="center"/>
          </w:tcPr>
          <w:p w14:paraId="0EB231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bl>
    <w:p w14:paraId="12D4D3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提供合同复印件（包含但不限于合同甲乙双方名称、合同名称、涉及设备的名称等内容、签订合同时间、甲乙双方公章等关键信息），同时，需提供相应的发票复印件，原件备查。同一个客户的多个合同，不重复计算业绩。未提供、显示模糊或资料不符合要求的不得分。</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74FB722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6.企业自有供货人员情况</w:t>
      </w:r>
    </w:p>
    <w:p w14:paraId="63B4A0D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default"/>
          <w:lang w:val="en-US" w:eastAsia="zh-CN"/>
        </w:rPr>
      </w:pPr>
      <w:r>
        <w:rPr>
          <w:rFonts w:hint="eastAsia" w:ascii="楷体_GB2312" w:hAnsi="楷体_GB2312" w:eastAsia="楷体_GB2312" w:cs="楷体_GB2312"/>
          <w:sz w:val="32"/>
          <w:szCs w:val="32"/>
          <w:highlight w:val="none"/>
          <w:lang w:val="en-US" w:eastAsia="zh-CN"/>
        </w:rPr>
        <w:t>（格式内容自拟）</w:t>
      </w:r>
    </w:p>
    <w:p w14:paraId="1EA1489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7.配送服务方案</w:t>
      </w:r>
    </w:p>
    <w:p w14:paraId="646734B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05D8A7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8.常规配送响应方案</w:t>
      </w:r>
    </w:p>
    <w:p w14:paraId="70D8980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2C7A58F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8.应急配送响应方案</w:t>
      </w:r>
    </w:p>
    <w:p w14:paraId="5EC8ECF1">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lang w:val="en-US" w:eastAsia="zh-CN"/>
        </w:rPr>
      </w:pPr>
      <w:r>
        <w:rPr>
          <w:rFonts w:hint="eastAsia" w:ascii="楷体_GB2312" w:hAnsi="楷体_GB2312" w:eastAsia="楷体_GB2312" w:cs="楷体_GB2312"/>
          <w:sz w:val="32"/>
          <w:szCs w:val="32"/>
          <w:highlight w:val="none"/>
          <w:lang w:val="en-US" w:eastAsia="zh-CN"/>
        </w:rPr>
        <w:t>（格式内容自拟）</w:t>
      </w:r>
    </w:p>
    <w:p w14:paraId="0EDE8EB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10.售后服务方案</w:t>
      </w:r>
    </w:p>
    <w:p w14:paraId="2E32C99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sectPr>
          <w:pgSz w:w="11906" w:h="16838"/>
          <w:pgMar w:top="2098" w:right="1474" w:bottom="1984" w:left="1587" w:header="851" w:footer="992" w:gutter="0"/>
          <w:pgNumType w:fmt="decimal"/>
          <w:cols w:space="425" w:num="1"/>
          <w:docGrid w:type="lines" w:linePitch="312" w:charSpace="0"/>
        </w:sectPr>
      </w:pPr>
      <w:r>
        <w:rPr>
          <w:rFonts w:hint="eastAsia" w:ascii="楷体_GB2312" w:hAnsi="楷体_GB2312" w:eastAsia="楷体_GB2312" w:cs="楷体_GB2312"/>
          <w:sz w:val="32"/>
          <w:szCs w:val="32"/>
          <w:highlight w:val="none"/>
          <w:lang w:val="en-US" w:eastAsia="zh-CN"/>
        </w:rPr>
        <w:t>（格式内容自拟）</w:t>
      </w:r>
    </w:p>
    <w:p w14:paraId="11070FD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10.投标报价一览表</w:t>
      </w:r>
    </w:p>
    <w:p w14:paraId="66B3F20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p>
    <w:p w14:paraId="4649F780">
      <w:pPr>
        <w:pStyle w:val="4"/>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rPr>
        <w:t>深圳市龙华环境有限公司</w:t>
      </w:r>
    </w:p>
    <w:p w14:paraId="3FD1B158">
      <w:pPr>
        <w:pStyle w:val="4"/>
        <w:keepNext w:val="0"/>
        <w:keepLines w:val="0"/>
        <w:pageBreakBefore w:val="0"/>
        <w:widowControl w:val="0"/>
        <w:kinsoku/>
        <w:wordWrap/>
        <w:overflowPunct/>
        <w:topLinePunct w:val="0"/>
        <w:autoSpaceDE w:val="0"/>
        <w:autoSpaceDN w:val="0"/>
        <w:bidi w:val="0"/>
        <w:adjustRightInd w:val="0"/>
        <w:snapToGrid w:val="0"/>
        <w:spacing w:line="52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深圳市龙华环境有限公司</w:t>
      </w:r>
      <w:r>
        <w:rPr>
          <w:rFonts w:hint="eastAsia" w:ascii="仿宋_GB2312" w:hAnsi="仿宋_GB2312" w:eastAsia="仿宋_GB2312" w:cs="仿宋_GB2312"/>
          <w:sz w:val="32"/>
          <w:szCs w:val="32"/>
          <w:highlight w:val="none"/>
          <w:u w:val="single"/>
          <w:lang w:val="en-US" w:eastAsia="zh-CN"/>
        </w:rPr>
        <w:t>大浪街道城市管家项目维修管养材料采购</w:t>
      </w:r>
      <w:r>
        <w:rPr>
          <w:rFonts w:hint="eastAsia" w:ascii="仿宋_GB2312" w:hAnsi="仿宋_GB2312" w:eastAsia="仿宋_GB2312" w:cs="仿宋_GB2312"/>
          <w:sz w:val="32"/>
          <w:szCs w:val="32"/>
          <w:highlight w:val="none"/>
        </w:rPr>
        <w:t>的报价见下表所列：</w:t>
      </w:r>
    </w:p>
    <w:tbl>
      <w:tblPr>
        <w:tblStyle w:val="10"/>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1897"/>
        <w:gridCol w:w="1916"/>
        <w:gridCol w:w="2717"/>
      </w:tblGrid>
      <w:tr w14:paraId="7E24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08" w:type="dxa"/>
            <w:vAlign w:val="center"/>
          </w:tcPr>
          <w:p w14:paraId="7399EDC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采购项目</w:t>
            </w:r>
          </w:p>
        </w:tc>
        <w:tc>
          <w:tcPr>
            <w:tcW w:w="1897" w:type="dxa"/>
            <w:vAlign w:val="center"/>
          </w:tcPr>
          <w:p w14:paraId="4A979BDA">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投标上限价</w:t>
            </w:r>
          </w:p>
          <w:p w14:paraId="7693653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（万元）</w:t>
            </w:r>
          </w:p>
        </w:tc>
        <w:tc>
          <w:tcPr>
            <w:tcW w:w="1916" w:type="dxa"/>
            <w:vAlign w:val="center"/>
          </w:tcPr>
          <w:p w14:paraId="7A473D9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none"/>
                <w:lang w:val="en-US" w:eastAsia="zh-CN" w:bidi="ar-SA"/>
              </w:rPr>
              <w:t>折扣率</w:t>
            </w:r>
          </w:p>
        </w:tc>
        <w:tc>
          <w:tcPr>
            <w:tcW w:w="2717" w:type="dxa"/>
            <w:vAlign w:val="center"/>
          </w:tcPr>
          <w:p w14:paraId="5B94A6DD">
            <w:pPr>
              <w:keepNext w:val="0"/>
              <w:keepLines w:val="0"/>
              <w:pageBreakBefore w:val="0"/>
              <w:widowControl w:val="0"/>
              <w:kinsoku/>
              <w:wordWrap/>
              <w:overflowPunct/>
              <w:topLinePunct w:val="0"/>
              <w:bidi w:val="0"/>
              <w:spacing w:line="44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备注</w:t>
            </w:r>
          </w:p>
        </w:tc>
      </w:tr>
      <w:tr w14:paraId="488D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108" w:type="dxa"/>
            <w:vAlign w:val="center"/>
          </w:tcPr>
          <w:p w14:paraId="5C5BC300">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大浪街道城市管家项目维修管养材料</w:t>
            </w:r>
          </w:p>
        </w:tc>
        <w:tc>
          <w:tcPr>
            <w:tcW w:w="1897" w:type="dxa"/>
            <w:vAlign w:val="center"/>
          </w:tcPr>
          <w:p w14:paraId="68EFC34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w:t>
            </w:r>
          </w:p>
        </w:tc>
        <w:tc>
          <w:tcPr>
            <w:tcW w:w="1916" w:type="dxa"/>
            <w:vMerge w:val="restart"/>
            <w:vAlign w:val="center"/>
          </w:tcPr>
          <w:p w14:paraId="3FFA3245">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restart"/>
            <w:vAlign w:val="center"/>
          </w:tcPr>
          <w:p w14:paraId="7C18EA0A">
            <w:pPr>
              <w:keepNext w:val="0"/>
              <w:keepLines w:val="0"/>
              <w:pageBreakBefore w:val="0"/>
              <w:widowControl w:val="0"/>
              <w:numPr>
                <w:ilvl w:val="0"/>
                <w:numId w:val="0"/>
              </w:numPr>
              <w:kinsoku/>
              <w:wordWrap/>
              <w:overflowPunct/>
              <w:topLinePunct w:val="0"/>
              <w:bidi w:val="0"/>
              <w:spacing w:line="44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1.据实结算，但支付总价不高于合同价。</w:t>
            </w:r>
          </w:p>
          <w:p w14:paraId="4A3AB9F3">
            <w:pPr>
              <w:keepNext w:val="0"/>
              <w:keepLines w:val="0"/>
              <w:pageBreakBefore w:val="0"/>
              <w:widowControl w:val="0"/>
              <w:numPr>
                <w:ilvl w:val="0"/>
                <w:numId w:val="0"/>
              </w:numPr>
              <w:kinsoku/>
              <w:wordWrap/>
              <w:overflowPunct/>
              <w:topLinePunct w:val="0"/>
              <w:bidi w:val="0"/>
              <w:spacing w:line="440" w:lineRule="exact"/>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2.增值税税率</w:t>
            </w:r>
            <w:r>
              <w:rPr>
                <w:rFonts w:hint="eastAsia" w:ascii="仿宋" w:hAnsi="仿宋" w:eastAsia="仿宋" w:cs="仿宋"/>
                <w:b/>
                <w:bCs/>
                <w:kern w:val="2"/>
                <w:sz w:val="28"/>
                <w:szCs w:val="28"/>
                <w:highlight w:val="none"/>
                <w:u w:val="single"/>
                <w:lang w:val="en-US" w:eastAsia="zh-CN" w:bidi="ar-SA"/>
              </w:rPr>
              <w:t xml:space="preserve">   </w:t>
            </w:r>
            <w:r>
              <w:rPr>
                <w:rFonts w:hint="eastAsia" w:ascii="仿宋" w:hAnsi="仿宋" w:eastAsia="仿宋" w:cs="仿宋"/>
                <w:b/>
                <w:bCs/>
                <w:kern w:val="2"/>
                <w:sz w:val="28"/>
                <w:szCs w:val="28"/>
                <w:highlight w:val="none"/>
                <w:lang w:val="en-US" w:eastAsia="zh-CN" w:bidi="ar-SA"/>
              </w:rPr>
              <w:t>%。</w:t>
            </w:r>
          </w:p>
        </w:tc>
      </w:tr>
      <w:tr w14:paraId="4C80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108" w:type="dxa"/>
            <w:vAlign w:val="center"/>
          </w:tcPr>
          <w:p w14:paraId="31D3036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合计</w:t>
            </w:r>
          </w:p>
        </w:tc>
        <w:tc>
          <w:tcPr>
            <w:tcW w:w="1897" w:type="dxa"/>
            <w:vAlign w:val="center"/>
          </w:tcPr>
          <w:p w14:paraId="756C1AB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42万元</w:t>
            </w:r>
          </w:p>
        </w:tc>
        <w:tc>
          <w:tcPr>
            <w:tcW w:w="1916" w:type="dxa"/>
            <w:vMerge w:val="continue"/>
            <w:vAlign w:val="center"/>
          </w:tcPr>
          <w:p w14:paraId="39FBEA73">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continue"/>
            <w:vAlign w:val="center"/>
          </w:tcPr>
          <w:p w14:paraId="57B752C1">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r w14:paraId="03B4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108" w:type="dxa"/>
            <w:vAlign w:val="center"/>
          </w:tcPr>
          <w:p w14:paraId="50530A3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金额（大写）</w:t>
            </w:r>
          </w:p>
        </w:tc>
        <w:tc>
          <w:tcPr>
            <w:tcW w:w="1897" w:type="dxa"/>
            <w:vAlign w:val="center"/>
          </w:tcPr>
          <w:p w14:paraId="48AE303C">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肆拾贰万元整</w:t>
            </w:r>
          </w:p>
        </w:tc>
        <w:tc>
          <w:tcPr>
            <w:tcW w:w="1916" w:type="dxa"/>
            <w:vAlign w:val="center"/>
          </w:tcPr>
          <w:p w14:paraId="25793A8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Merge w:val="continue"/>
            <w:vAlign w:val="center"/>
          </w:tcPr>
          <w:p w14:paraId="258877A7">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kern w:val="2"/>
                <w:sz w:val="32"/>
                <w:szCs w:val="32"/>
                <w:highlight w:val="none"/>
                <w:lang w:val="en-US" w:eastAsia="zh-CN" w:bidi="ar-SA"/>
              </w:rPr>
            </w:pPr>
          </w:p>
        </w:tc>
      </w:tr>
    </w:tbl>
    <w:p w14:paraId="40B941A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p>
    <w:p w14:paraId="08FF43D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488049D5">
      <w:pPr>
        <w:pStyle w:val="5"/>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lang w:val="en-US" w:eastAsia="zh-CN"/>
        </w:rPr>
      </w:pPr>
      <w:r>
        <w:rPr>
          <w:rFonts w:hint="eastAsia" w:ascii="仿宋" w:hAnsi="仿宋" w:eastAsia="仿宋" w:cs="仿宋"/>
          <w:b/>
          <w:bCs/>
          <w:sz w:val="24"/>
          <w:szCs w:val="24"/>
          <w:highlight w:val="none"/>
          <w:lang w:val="en-US" w:eastAsia="zh-CN"/>
        </w:rPr>
        <w:t>（1）招标控制价为84万元/年。标段一招标控制价暂为42万元、标段二招标控制价暂为42万元，取综合评分前两名为中标供应商。总价超出投标控制价将导致投标无效。</w:t>
      </w:r>
    </w:p>
    <w:p w14:paraId="2B4ECC4D">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（2）如投标人提供的增值税专用发票税率不同时，则以不含增值税报价为最终评标价格（该评标价格仅作为评标时的依据，不能作为中标价格）。</w:t>
      </w:r>
    </w:p>
    <w:p w14:paraId="04E57404">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（3）本项目按清单采购，采用据实结算方式，结算单价以折扣后单价为准，支付总价不高于合同价。</w:t>
      </w:r>
    </w:p>
    <w:p w14:paraId="08B672A7">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（4）合同执行期间，在本次投标文件清单中有未列明物品，中标方不得以高于市场价作为供货价格。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E04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-137795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18D6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85pt;height:144pt;width:144pt;mso-position-horizontal:outside;mso-position-horizontal-relative:margin;mso-wrap-style:none;z-index:251659264;mso-width-relative:page;mso-height-relative:page;" filled="f" stroked="f" coordsize="21600,21600" o:gfxdata="UEsDBAoAAAAAAIdO4kAAAAAAAAAAAAAAAAAEAAAAZHJzL1BLAwQUAAAACACHTuJA70iQgt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3oNgOSsKvpx4yPMd&#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0iQgt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24A18D6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D3052"/>
    <w:rsid w:val="18A62B93"/>
    <w:rsid w:val="28605244"/>
    <w:rsid w:val="28E82D54"/>
    <w:rsid w:val="325171A6"/>
    <w:rsid w:val="352C2372"/>
    <w:rsid w:val="3DF633C5"/>
    <w:rsid w:val="4C1D7A3E"/>
    <w:rsid w:val="505C4C07"/>
    <w:rsid w:val="536C4EB2"/>
    <w:rsid w:val="558D27DF"/>
    <w:rsid w:val="584C1000"/>
    <w:rsid w:val="5F0412A3"/>
    <w:rsid w:val="5FDA3FB1"/>
    <w:rsid w:val="687E00BB"/>
    <w:rsid w:val="79DF0BD6"/>
    <w:rsid w:val="7B25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b/>
      <w:bCs/>
    </w:rPr>
  </w:style>
  <w:style w:type="paragraph" w:styleId="3">
    <w:name w:val="Body Text Indent"/>
    <w:basedOn w:val="1"/>
    <w:qFormat/>
    <w:uiPriority w:val="0"/>
    <w:pPr>
      <w:spacing w:line="360" w:lineRule="auto"/>
      <w:ind w:firstLine="420" w:firstLineChars="200"/>
    </w:pPr>
  </w:style>
  <w:style w:type="paragraph" w:styleId="4">
    <w:name w:val="Plain Text"/>
    <w:basedOn w:val="1"/>
    <w:qFormat/>
    <w:uiPriority w:val="0"/>
    <w:rPr>
      <w:rFonts w:hAnsi="Courier New" w:cs="Courier New"/>
      <w:szCs w:val="21"/>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99"/>
    <w:pPr>
      <w:spacing w:after="120" w:line="240" w:lineRule="auto"/>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3754</Words>
  <Characters>3844</Characters>
  <Lines>0</Lines>
  <Paragraphs>0</Paragraphs>
  <TotalTime>4</TotalTime>
  <ScaleCrop>false</ScaleCrop>
  <LinksUpToDate>false</LinksUpToDate>
  <CharactersWithSpaces>3845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2025-12-05T00:45:00Z</dcterms:created>
  <dc:creator>95683</dc:creator>
  <cp:lastModifiedBy>WPS_1756952891</cp:lastModifiedBy>
  <dcterms:modified xsi:type="dcterms:W3CDTF">2025-12-19T01:09:29Z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eyJoZGlkIjoiZWE3ZjBjMTQ1OTFhYWMyZWIwNzI2ZmRiYzg1YWM3MzkiLCJ1c2VySWQiOiIxNzM3NTg4NjA5In0=</vt:lpwstr>
  </property>
  <property fmtid="{D5CDD505-2E9C-101B-9397-08002B2CF9AE}" pid="4" name="ICV">
    <vt:lpwstr>A1CDE3BFC3D543D4AB8BFE1DB5D3B7C7_12</vt:lpwstr>
  </property>
</Properties>
</file>