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A8D59">
      <w:pPr>
        <w:pStyle w:val="3"/>
        <w:rPr>
          <w:rFonts w:hint="eastAsia" w:ascii="方正小标宋简体" w:hAnsi="方正小标宋简体" w:eastAsia="方正小标宋简体" w:cs="方正小标宋简体"/>
          <w:b w:val="0"/>
          <w:color w:val="auto"/>
          <w:kern w:val="2"/>
          <w:sz w:val="44"/>
          <w:szCs w:val="44"/>
          <w:shd w:val="clear"/>
        </w:rPr>
      </w:pPr>
      <w:r>
        <w:rPr>
          <w:rFonts w:hint="eastAsia" w:ascii="方正小标宋简体" w:hAnsi="方正小标宋简体" w:eastAsia="方正小标宋简体" w:cs="方正小标宋简体"/>
          <w:b w:val="0"/>
          <w:color w:val="auto"/>
          <w:kern w:val="2"/>
          <w:sz w:val="44"/>
          <w:szCs w:val="44"/>
        </w:rPr>
        <w:t>东兰水厂2026年度饮用水桶坯采购合同</w:t>
      </w:r>
    </w:p>
    <w:p w14:paraId="72117AD4">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14:paraId="465DABDD">
      <w:pPr>
        <w:widowControl w:val="0"/>
        <w:ind w:firstLine="640"/>
        <w:jc w:val="both"/>
        <w:rPr>
          <w:rFonts w:hint="eastAsia" w:ascii="仿宋_GB2312" w:hAnsi="仿宋_GB2312" w:cs="仿宋_GB2312"/>
          <w:sz w:val="32"/>
          <w:szCs w:val="32"/>
          <w:shd w:val="clear"/>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w:t>
      </w:r>
      <w:r>
        <w:rPr>
          <w:rFonts w:hint="eastAsia" w:ascii="仿宋_GB2312" w:hAnsi="仿宋_GB2312" w:eastAsia="仿宋_GB2312" w:cs="仿宋_GB2312"/>
          <w:i w:val="0"/>
          <w:iCs w:val="0"/>
          <w:caps w:val="0"/>
          <w:spacing w:val="0"/>
          <w:sz w:val="32"/>
          <w:szCs w:val="32"/>
          <w:shd w:val="clear"/>
        </w:rPr>
        <w:t>东兰鹏华水业有限公司</w:t>
      </w:r>
      <w:r>
        <w:rPr>
          <w:rFonts w:hint="eastAsia" w:ascii="仿宋_GB2312" w:hAnsi="仿宋_GB2312" w:cs="仿宋_GB2312"/>
          <w:sz w:val="32"/>
          <w:szCs w:val="32"/>
          <w:shd w:val="clear"/>
        </w:rPr>
        <w:t xml:space="preserve"> </w:t>
      </w:r>
    </w:p>
    <w:p w14:paraId="51C6D430">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统一社会信用代码：91451224MACX3H1834(1-1)</w:t>
      </w:r>
    </w:p>
    <w:p w14:paraId="0A5E18F7">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法定代表人：赖晓芬</w:t>
      </w:r>
    </w:p>
    <w:p w14:paraId="5E0B98CE">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 xml:space="preserve">地址：广西壮族自治区河池市东兰县东兰镇曲江路183号403室 </w:t>
      </w:r>
    </w:p>
    <w:p w14:paraId="6CF1D79E">
      <w:pPr>
        <w:widowControl w:val="0"/>
        <w:adjustRightInd w:val="0"/>
        <w:snapToGrid w:val="0"/>
        <w:ind w:firstLine="640"/>
        <w:jc w:val="both"/>
        <w:rPr>
          <w:rFonts w:ascii="仿宋_GB2312" w:hAnsi="仿宋_GB2312" w:cs="仿宋_GB2312"/>
          <w:sz w:val="32"/>
          <w:szCs w:val="32"/>
        </w:rPr>
      </w:pPr>
    </w:p>
    <w:p w14:paraId="05AF61DC">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乙方（卖方）</w:t>
      </w:r>
      <w:r>
        <w:rPr>
          <w:rFonts w:hint="eastAsia" w:ascii="仿宋_GB2312" w:hAnsi="仿宋_GB2312" w:cs="仿宋_GB2312"/>
          <w:sz w:val="32"/>
          <w:szCs w:val="32"/>
          <w:shd w:val="clear" w:color="auto" w:fill="FFFFFF"/>
        </w:rPr>
        <w:t>：</w:t>
      </w:r>
    </w:p>
    <w:p w14:paraId="084F0607">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p>
    <w:p w14:paraId="07053B2D">
      <w:pPr>
        <w:widowControl w:val="0"/>
        <w:adjustRightInd w:val="0"/>
        <w:snapToGrid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法定</w:t>
      </w:r>
      <w:r>
        <w:rPr>
          <w:rFonts w:hint="eastAsia" w:ascii="仿宋_GB2312" w:hAnsi="仿宋_GB2312" w:cs="仿宋_GB2312"/>
          <w:sz w:val="32"/>
          <w:szCs w:val="32"/>
          <w:shd w:val="clear" w:color="auto" w:fill="FFFFFF"/>
        </w:rPr>
        <w:t>代表人：</w:t>
      </w:r>
    </w:p>
    <w:p w14:paraId="7EE2904A">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地址</w:t>
      </w:r>
      <w:r>
        <w:rPr>
          <w:rFonts w:hint="eastAsia" w:ascii="仿宋_GB2312" w:hAnsi="仿宋_GB2312" w:cs="仿宋_GB2312"/>
          <w:sz w:val="32"/>
          <w:szCs w:val="32"/>
          <w:shd w:val="clear" w:color="auto" w:fill="FFFFFF"/>
        </w:rPr>
        <w:t>：</w:t>
      </w:r>
    </w:p>
    <w:p w14:paraId="0C2237F5">
      <w:pPr>
        <w:pStyle w:val="8"/>
        <w:widowControl w:val="0"/>
        <w:spacing w:before="0" w:beforeAutospacing="0" w:after="0" w:afterAutospacing="0"/>
        <w:ind w:firstLine="640"/>
        <w:jc w:val="both"/>
        <w:rPr>
          <w:rFonts w:ascii="仿宋_GB2312" w:hAnsi="仿宋_GB2312" w:cs="仿宋_GB2312"/>
          <w:color w:val="000000"/>
          <w:sz w:val="32"/>
          <w:szCs w:val="32"/>
          <w:u w:val="single"/>
        </w:rPr>
      </w:pPr>
    </w:p>
    <w:p w14:paraId="0A51B7A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饮用水桶坯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14:paraId="0D68C4A9">
      <w:pPr>
        <w:pStyle w:val="4"/>
        <w:keepLines w:val="0"/>
        <w:widowControl w:val="0"/>
        <w:numPr>
          <w:ilvl w:val="0"/>
          <w:numId w:val="1"/>
        </w:numPr>
        <w:ind w:firstLine="640"/>
        <w:jc w:val="both"/>
        <w:rPr>
          <w:rFonts w:hint="eastAsia" w:ascii="黑体" w:hAnsi="黑体" w:cs="黑体"/>
          <w:szCs w:val="32"/>
        </w:rPr>
      </w:pPr>
      <w:r>
        <w:rPr>
          <w:rFonts w:hint="eastAsia" w:ascii="黑体" w:hAnsi="黑体" w:cs="黑体"/>
          <w:szCs w:val="32"/>
        </w:rPr>
        <w:t>货物与价款</w:t>
      </w:r>
    </w:p>
    <w:p w14:paraId="5EB8B431">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本合同为</w:t>
      </w:r>
      <w:r>
        <w:rPr>
          <w:rFonts w:hint="eastAsia" w:ascii="仿宋_GB2312" w:hAnsi="仿宋_GB2312" w:eastAsia="仿宋_GB2312" w:cs="仿宋_GB2312"/>
          <w:sz w:val="32"/>
          <w:szCs w:val="32"/>
          <w:u w:val="none"/>
        </w:rPr>
        <w:t>固定全费用综合单价</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结算时以甲方确认的实际</w:t>
      </w:r>
      <w:r>
        <w:rPr>
          <w:rFonts w:hint="eastAsia" w:ascii="仿宋_GB2312" w:hAnsi="仿宋_GB2312" w:eastAsia="仿宋_GB2312" w:cs="仿宋_GB2312"/>
          <w:sz w:val="32"/>
          <w:szCs w:val="32"/>
          <w:lang w:val="en-US" w:eastAsia="zh-CN"/>
        </w:rPr>
        <w:t>数量</w:t>
      </w:r>
      <w:r>
        <w:rPr>
          <w:rFonts w:hint="eastAsia" w:ascii="仿宋_GB2312" w:hAnsi="仿宋_GB2312" w:eastAsia="仿宋_GB2312" w:cs="仿宋_GB2312"/>
          <w:sz w:val="32"/>
          <w:szCs w:val="32"/>
        </w:rPr>
        <w:t>为准</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合同</w:t>
      </w:r>
      <w:r>
        <w:rPr>
          <w:rFonts w:hint="eastAsia" w:ascii="仿宋_GB2312" w:hAnsi="仿宋_GB2312" w:cs="仿宋_GB2312"/>
          <w:color w:val="000000"/>
          <w:sz w:val="32"/>
          <w:szCs w:val="32"/>
        </w:rPr>
        <w:t>货物</w:t>
      </w:r>
      <w:r>
        <w:rPr>
          <w:rFonts w:hint="eastAsia" w:ascii="仿宋_GB2312" w:hAnsi="仿宋_GB2312" w:cs="仿宋_GB2312"/>
          <w:color w:val="000000"/>
          <w:sz w:val="32"/>
          <w:szCs w:val="32"/>
          <w:lang w:val="en-US" w:eastAsia="zh-CN"/>
        </w:rPr>
        <w:t>清单</w:t>
      </w:r>
      <w:r>
        <w:rPr>
          <w:rFonts w:hint="eastAsia" w:ascii="仿宋_GB2312" w:hAnsi="仿宋_GB2312" w:cs="仿宋_GB2312"/>
          <w:color w:val="000000"/>
          <w:sz w:val="32"/>
          <w:szCs w:val="32"/>
        </w:rPr>
        <w:t>与价款</w:t>
      </w:r>
      <w:r>
        <w:rPr>
          <w:rFonts w:hint="eastAsia" w:ascii="仿宋_GB2312" w:hAnsi="仿宋_GB2312" w:cs="仿宋_GB2312"/>
          <w:color w:val="000000"/>
          <w:sz w:val="32"/>
          <w:szCs w:val="32"/>
          <w:lang w:val="en-US" w:eastAsia="zh-CN"/>
        </w:rPr>
        <w:t>详见</w:t>
      </w:r>
      <w:r>
        <w:rPr>
          <w:rFonts w:hint="eastAsia" w:ascii="仿宋_GB2312" w:hAnsi="仿宋_GB2312" w:cs="仿宋_GB2312"/>
          <w:color w:val="000000"/>
          <w:sz w:val="32"/>
          <w:szCs w:val="32"/>
        </w:rPr>
        <w:t>合同附件分项报价清单</w:t>
      </w:r>
      <w:r>
        <w:rPr>
          <w:rFonts w:hint="eastAsia" w:ascii="仿宋_GB2312" w:hAnsi="仿宋_GB2312" w:cs="仿宋_GB2312"/>
          <w:color w:val="000000"/>
          <w:sz w:val="32"/>
          <w:szCs w:val="32"/>
          <w:lang w:val="en-US" w:eastAsia="zh-CN"/>
        </w:rPr>
        <w:t>。</w:t>
      </w:r>
    </w:p>
    <w:p w14:paraId="6F48D44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14:paraId="6C72C6BC">
      <w:pPr>
        <w:pStyle w:val="8"/>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eastAsia="仿宋_GB2312" w:cs="仿宋_GB2312"/>
          <w:color w:val="000000"/>
          <w:sz w:val="32"/>
          <w:szCs w:val="32"/>
        </w:rPr>
        <w:t>按月支付，每月货到现场，经甲方验收合格后，付至本月合格到货金额的</w:t>
      </w:r>
      <w:r>
        <w:rPr>
          <w:rFonts w:hint="eastAsia" w:ascii="仿宋_GB2312" w:hAnsi="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rPr>
        <w:t>。</w:t>
      </w:r>
    </w:p>
    <w:p w14:paraId="7BF2403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14:paraId="35B7B64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14:paraId="0E17CEB2">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户名：</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341A22D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账号：</w:t>
      </w:r>
      <w:r>
        <w:rPr>
          <w:rFonts w:hint="eastAsia" w:ascii="仿宋_GB2312" w:hAnsi="仿宋_GB2312" w:cs="仿宋_GB2312"/>
          <w:color w:val="000000"/>
          <w:sz w:val="32"/>
          <w:szCs w:val="32"/>
          <w:u w:val="single"/>
        </w:rPr>
        <w:t xml:space="preserve">                       </w:t>
      </w:r>
    </w:p>
    <w:p w14:paraId="7684F51D">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5FE57318">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14:paraId="18464EB1">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本合同中约定的价款或交易金额为含税金额。甲方付款前，乙方应事前向甲方提供</w:t>
      </w:r>
      <w:r>
        <w:rPr>
          <w:rFonts w:hint="eastAsia" w:ascii="仿宋_GB2312" w:hAnsi="仿宋_GB2312" w:cs="仿宋_GB2312"/>
          <w:color w:val="000000"/>
          <w:sz w:val="32"/>
          <w:szCs w:val="32"/>
          <w:lang w:val="en-US" w:eastAsia="zh-CN"/>
        </w:rPr>
        <w:t>合法有效的</w:t>
      </w:r>
      <w:r>
        <w:rPr>
          <w:rFonts w:hint="eastAsia" w:ascii="仿宋_GB2312" w:hAnsi="仿宋_GB2312" w:cs="仿宋_GB2312"/>
          <w:color w:val="000000"/>
          <w:sz w:val="32"/>
          <w:szCs w:val="32"/>
        </w:rPr>
        <w:t>增值税专用发票，否则甲方有权顺延支付而无需承担逾期付款的违约责任。发票信息如下：</w:t>
      </w:r>
    </w:p>
    <w:p w14:paraId="4A81A43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w:t>
      </w:r>
      <w:r>
        <w:rPr>
          <w:rFonts w:hint="eastAsia" w:ascii="仿宋_GB2312" w:hAnsi="仿宋_GB2312" w:cs="仿宋_GB2312"/>
          <w:color w:val="000000"/>
          <w:sz w:val="32"/>
          <w:szCs w:val="32"/>
          <w:u w:val="single"/>
        </w:rPr>
        <w:t xml:space="preserve">                          </w:t>
      </w:r>
    </w:p>
    <w:p w14:paraId="599AB08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p>
    <w:p w14:paraId="5260CB4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地址、电话：</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3643AA2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开户行及账号：</w:t>
      </w:r>
      <w:r>
        <w:rPr>
          <w:rFonts w:hint="eastAsia" w:ascii="仿宋_GB2312" w:hAnsi="仿宋_GB2312" w:cs="仿宋_GB2312"/>
          <w:color w:val="000000"/>
          <w:sz w:val="32"/>
          <w:szCs w:val="32"/>
          <w:u w:val="single"/>
        </w:rPr>
        <w:t xml:space="preserve">                   </w:t>
      </w:r>
    </w:p>
    <w:p w14:paraId="7CA465A6">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货物或应税劳务名称：</w:t>
      </w:r>
      <w:r>
        <w:rPr>
          <w:rFonts w:hint="eastAsia" w:ascii="仿宋_GB2312" w:hAnsi="仿宋_GB2312" w:cs="仿宋_GB2312"/>
          <w:color w:val="000000"/>
          <w:sz w:val="32"/>
          <w:szCs w:val="32"/>
          <w:u w:val="single"/>
        </w:rPr>
        <w:t xml:space="preserve">             </w:t>
      </w:r>
    </w:p>
    <w:p w14:paraId="4CED5321">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增值税率：</w:t>
      </w:r>
      <w:r>
        <w:rPr>
          <w:rFonts w:hint="eastAsia" w:ascii="仿宋_GB2312" w:hAnsi="仿宋_GB2312" w:cs="仿宋_GB2312"/>
          <w:color w:val="000000"/>
          <w:sz w:val="32"/>
          <w:szCs w:val="32"/>
          <w:u w:val="single"/>
        </w:rPr>
        <w:t xml:space="preserve">                       </w:t>
      </w:r>
    </w:p>
    <w:p w14:paraId="75A6FA0E">
      <w:pPr>
        <w:pStyle w:val="4"/>
        <w:keepLines w:val="0"/>
        <w:widowControl w:val="0"/>
        <w:ind w:firstLine="640"/>
        <w:jc w:val="both"/>
        <w:rPr>
          <w:rFonts w:ascii="黑体" w:hAnsi="黑体" w:cs="黑体"/>
          <w:szCs w:val="32"/>
        </w:rPr>
      </w:pPr>
      <w:r>
        <w:rPr>
          <w:rFonts w:hint="eastAsia" w:ascii="黑体" w:hAnsi="黑体" w:cs="黑体"/>
          <w:szCs w:val="32"/>
        </w:rPr>
        <w:t>第二条 质量</w:t>
      </w:r>
    </w:p>
    <w:p w14:paraId="31FC2B3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r>
        <w:rPr>
          <w:rFonts w:hint="eastAsia" w:ascii="仿宋_GB2312" w:hAnsi="仿宋_GB2312" w:cs="仿宋_GB2312"/>
          <w:i w:val="0"/>
          <w:iCs w:val="0"/>
          <w:caps w:val="0"/>
          <w:color w:val="000000"/>
          <w:spacing w:val="0"/>
          <w:sz w:val="32"/>
          <w:szCs w:val="32"/>
          <w:shd w:val="clear"/>
          <w:lang w:val="en-US" w:eastAsia="zh-CN"/>
        </w:rPr>
        <w:t>桶</w:t>
      </w:r>
      <w:r>
        <w:rPr>
          <w:rFonts w:hint="eastAsia" w:ascii="仿宋_GB2312" w:hAnsi="仿宋_GB2312" w:eastAsia="仿宋_GB2312" w:cs="仿宋_GB2312"/>
          <w:i w:val="0"/>
          <w:iCs w:val="0"/>
          <w:caps w:val="0"/>
          <w:color w:val="000000"/>
          <w:spacing w:val="0"/>
          <w:sz w:val="32"/>
          <w:szCs w:val="32"/>
          <w:shd w:val="clear"/>
        </w:rPr>
        <w:t>坯符合BB/T 0060-2012 包装容器聚对苯二甲酸乙二醇酯（PET）瓶坯国家标准。每批产品必须附带出厂检验报告，否则招标人有权拒收。</w:t>
      </w:r>
    </w:p>
    <w:p w14:paraId="2F9D514E">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w:t>
      </w:r>
    </w:p>
    <w:p w14:paraId="60D3D9AB">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14:paraId="20B7CD3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14:paraId="2AD03D87">
      <w:pPr>
        <w:pStyle w:val="4"/>
        <w:keepLines w:val="0"/>
        <w:widowControl w:val="0"/>
        <w:ind w:firstLine="640"/>
        <w:jc w:val="both"/>
        <w:rPr>
          <w:rFonts w:ascii="黑体" w:hAnsi="黑体" w:cs="黑体"/>
          <w:szCs w:val="32"/>
        </w:rPr>
      </w:pPr>
      <w:r>
        <w:rPr>
          <w:rFonts w:hint="eastAsia" w:ascii="黑体" w:hAnsi="黑体" w:cs="黑体"/>
          <w:szCs w:val="32"/>
        </w:rPr>
        <w:t>第三条 交货</w:t>
      </w:r>
    </w:p>
    <w:p w14:paraId="6C2CB99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1.交货时间：</w:t>
      </w:r>
      <w:r>
        <w:rPr>
          <w:rFonts w:hint="eastAsia" w:ascii="仿宋_GB2312" w:hAnsi="仿宋_GB2312" w:cs="仿宋_GB2312"/>
          <w:color w:val="000000"/>
          <w:sz w:val="32"/>
          <w:szCs w:val="32"/>
          <w:lang w:val="en-US" w:eastAsia="zh-CN"/>
        </w:rPr>
        <w:t>以甲方具体通知为准</w:t>
      </w:r>
      <w:r>
        <w:rPr>
          <w:rFonts w:hint="eastAsia" w:ascii="仿宋_GB2312" w:hAnsi="仿宋_GB2312" w:cs="仿宋_GB2312"/>
          <w:color w:val="000000"/>
          <w:sz w:val="32"/>
          <w:szCs w:val="32"/>
        </w:rPr>
        <w:t>。</w:t>
      </w:r>
    </w:p>
    <w:p w14:paraId="11383426">
      <w:pPr>
        <w:pStyle w:val="8"/>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highlight w:val="none"/>
          <w:u w:val="single"/>
        </w:rPr>
        <w:t>河池市东兰县切学乡鹏华水厂</w:t>
      </w:r>
      <w:r>
        <w:rPr>
          <w:rFonts w:hint="eastAsia" w:ascii="仿宋_GB2312" w:hAnsi="仿宋_GB2312" w:cs="仿宋_GB2312"/>
          <w:color w:val="000000"/>
          <w:sz w:val="32"/>
          <w:szCs w:val="32"/>
        </w:rPr>
        <w:t>。</w:t>
      </w:r>
    </w:p>
    <w:p w14:paraId="22463A51">
      <w:pPr>
        <w:pStyle w:val="8"/>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lang w:val="en-US" w:eastAsia="zh-CN"/>
        </w:rPr>
        <w:t>3</w:t>
      </w:r>
      <w:r>
        <w:rPr>
          <w:rFonts w:hint="eastAsia" w:ascii="仿宋_GB2312" w:hAnsi="仿宋_GB2312" w:cs="仿宋_GB2312"/>
          <w:color w:val="000000"/>
          <w:sz w:val="32"/>
          <w:szCs w:val="32"/>
        </w:rPr>
        <w:t>.验收：交货当时进行外观、数量验收；交货后</w:t>
      </w:r>
      <w:r>
        <w:rPr>
          <w:rFonts w:hint="eastAsia" w:ascii="仿宋_GB2312" w:hAnsi="仿宋_GB2312" w:cs="仿宋_GB2312"/>
          <w:color w:val="000000"/>
          <w:sz w:val="32"/>
          <w:szCs w:val="32"/>
          <w:u w:val="single"/>
          <w:lang w:val="en-US" w:eastAsia="zh-CN"/>
        </w:rPr>
        <w:t>7</w:t>
      </w:r>
      <w:r>
        <w:rPr>
          <w:rFonts w:hint="eastAsia" w:ascii="仿宋_GB2312" w:hAnsi="仿宋_GB2312" w:cs="仿宋_GB2312"/>
          <w:color w:val="000000"/>
          <w:sz w:val="32"/>
          <w:szCs w:val="32"/>
        </w:rPr>
        <w:t>日内进行质量验收。验收期内未提出异议的，视为质量无问题、验收通过。</w:t>
      </w:r>
      <w:bookmarkStart w:id="0" w:name="_GoBack"/>
      <w:bookmarkEnd w:id="0"/>
    </w:p>
    <w:p w14:paraId="46FB6D87">
      <w:pPr>
        <w:pStyle w:val="4"/>
        <w:ind w:firstLine="640" w:firstLineChars="200"/>
        <w:jc w:val="both"/>
        <w:rPr>
          <w:rFonts w:hint="eastAsia" w:ascii="黑体" w:hAnsi="黑体" w:cs="黑体"/>
          <w:szCs w:val="32"/>
        </w:rPr>
      </w:pPr>
      <w:r>
        <w:rPr>
          <w:rFonts w:hint="eastAsia" w:ascii="黑体" w:hAnsi="黑体" w:cs="黑体"/>
          <w:szCs w:val="32"/>
        </w:rPr>
        <w:t xml:space="preserve">第四条 </w:t>
      </w:r>
      <w:r>
        <w:rPr>
          <w:rFonts w:hint="eastAsia" w:ascii="黑体" w:hAnsi="黑体" w:eastAsia="黑体" w:cs="黑体"/>
          <w:sz w:val="32"/>
          <w:szCs w:val="32"/>
        </w:rPr>
        <w:t>结算方式</w:t>
      </w:r>
    </w:p>
    <w:p w14:paraId="066C11CC">
      <w:pPr>
        <w:widowControl w:val="0"/>
        <w:ind w:firstLine="480"/>
        <w:rPr>
          <w:rFonts w:hint="eastAsia" w:ascii="仿宋_GB2312" w:hAnsi="仿宋_GB2312" w:cs="仿宋_GB2312"/>
          <w:color w:val="000000"/>
          <w:sz w:val="32"/>
          <w:szCs w:val="32"/>
        </w:rPr>
      </w:pPr>
      <w:r>
        <w:rPr>
          <w:rFonts w:hint="eastAsia" w:ascii="仿宋_GB2312" w:hAnsi="仿宋_GB2312" w:eastAsia="仿宋_GB2312" w:cs="仿宋_GB2312"/>
          <w:color w:val="000000"/>
          <w:sz w:val="32"/>
          <w:szCs w:val="32"/>
        </w:rPr>
        <w:t>结算方式：</w:t>
      </w:r>
      <w:r>
        <w:rPr>
          <w:rFonts w:hint="eastAsia" w:ascii="仿宋_GB2312" w:hAnsi="仿宋_GB2312" w:cs="仿宋_GB2312"/>
          <w:color w:val="000000"/>
          <w:sz w:val="32"/>
          <w:szCs w:val="32"/>
          <w:lang w:val="en-US" w:eastAsia="zh-CN"/>
        </w:rPr>
        <w:t>固定全费用综合单价合同，</w:t>
      </w:r>
      <w:r>
        <w:rPr>
          <w:rFonts w:hint="eastAsia" w:ascii="仿宋_GB2312" w:hAnsi="仿宋_GB2312" w:cs="仿宋_GB2312"/>
          <w:color w:val="000000"/>
          <w:sz w:val="32"/>
          <w:szCs w:val="32"/>
        </w:rPr>
        <w:t>数量按实结算。最终结算合同价款，按本合同附件分项报价清单之含税全费用综合单价和甲乙双方共同确认的现场供货完毕并经验收合格</w:t>
      </w:r>
      <w:r>
        <w:rPr>
          <w:rFonts w:hint="eastAsia" w:ascii="仿宋_GB2312" w:hAnsi="仿宋_GB2312" w:cs="仿宋_GB2312"/>
          <w:color w:val="000000"/>
          <w:sz w:val="32"/>
          <w:szCs w:val="32"/>
          <w:lang w:val="en-US" w:eastAsia="zh-CN"/>
        </w:rPr>
        <w:t>货物</w:t>
      </w:r>
      <w:r>
        <w:rPr>
          <w:rFonts w:hint="eastAsia" w:ascii="仿宋_GB2312" w:hAnsi="仿宋_GB2312" w:cs="仿宋_GB2312"/>
          <w:color w:val="000000"/>
          <w:sz w:val="32"/>
          <w:szCs w:val="32"/>
        </w:rPr>
        <w:t>数量的乘积确定。除本合同另有约定外，本结算的固定全费用综合单价不作调整，合同有约定的，按约定进行结算价调整。具体全费用综合单价详见本合同附件分项报价清单。</w:t>
      </w:r>
    </w:p>
    <w:p w14:paraId="696CC0ED">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五</w:t>
      </w:r>
      <w:r>
        <w:rPr>
          <w:rFonts w:hint="eastAsia" w:ascii="黑体" w:hAnsi="黑体" w:cs="黑体"/>
          <w:szCs w:val="32"/>
        </w:rPr>
        <w:t>条 质保期</w:t>
      </w:r>
    </w:p>
    <w:p w14:paraId="6C98E1E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lang w:val="en-US" w:eastAsia="zh-CN"/>
        </w:rPr>
        <w:t>12</w:t>
      </w:r>
      <w:r>
        <w:rPr>
          <w:rFonts w:hint="eastAsia" w:ascii="仿宋_GB2312" w:hAnsi="仿宋_GB2312" w:cs="仿宋_GB2312"/>
          <w:color w:val="000000"/>
          <w:sz w:val="32"/>
          <w:szCs w:val="32"/>
        </w:rPr>
        <w:t>个月，自货物通过甲方验收之日起算。</w:t>
      </w:r>
    </w:p>
    <w:p w14:paraId="3FFBFBBB">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14:paraId="5D3B831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14:paraId="6117740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14:paraId="4A0FCF0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14:paraId="0DD1492E">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六</w:t>
      </w:r>
      <w:r>
        <w:rPr>
          <w:rFonts w:hint="eastAsia" w:ascii="黑体" w:hAnsi="黑体" w:cs="黑体"/>
          <w:szCs w:val="32"/>
        </w:rPr>
        <w:t>条 违约责任</w:t>
      </w:r>
    </w:p>
    <w:p w14:paraId="31E1EAD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%向乙方支付违约金。逾期超过15日的，乙方有权解除本合同。</w:t>
      </w:r>
    </w:p>
    <w:p w14:paraId="74C87BE9">
      <w:pPr>
        <w:pStyle w:val="8"/>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14:paraId="7128CA5D">
      <w:pPr>
        <w:pStyle w:val="8"/>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14:paraId="5E57BBFF">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七</w:t>
      </w:r>
      <w:r>
        <w:rPr>
          <w:rFonts w:hint="eastAsia" w:ascii="黑体" w:hAnsi="黑体" w:cs="黑体"/>
          <w:szCs w:val="32"/>
        </w:rPr>
        <w:t>条 合同联系方式</w:t>
      </w:r>
    </w:p>
    <w:p w14:paraId="61E20B4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14:paraId="71902A5E">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14:paraId="51D2878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陈海清</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0B31419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highlight w:val="none"/>
          <w:u w:val="single"/>
        </w:rPr>
        <w:t>河池市东兰县切学乡鹏华水厂</w:t>
      </w:r>
    </w:p>
    <w:p w14:paraId="37D65551">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13926044606         </w:t>
      </w:r>
    </w:p>
    <w:p w14:paraId="58AFEF5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14:paraId="0C3CF8F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21C0FB30">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11FBB137">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68625AA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14:paraId="39740439">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14:paraId="3CDFE16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14:paraId="0CE6F37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14:paraId="5BA4810D">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14:paraId="1E4D4C85">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八</w:t>
      </w:r>
      <w:r>
        <w:rPr>
          <w:rFonts w:hint="eastAsia" w:ascii="黑体" w:hAnsi="黑体" w:cs="黑体"/>
          <w:szCs w:val="32"/>
        </w:rPr>
        <w:t>条 反商业贿赂</w:t>
      </w:r>
    </w:p>
    <w:p w14:paraId="099C74F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3784B8CE">
      <w:pPr>
        <w:pStyle w:val="11"/>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九</w:t>
      </w:r>
      <w:r>
        <w:rPr>
          <w:rFonts w:hint="eastAsia" w:ascii="黑体" w:hAnsi="黑体" w:eastAsia="黑体" w:cs="黑体"/>
          <w:bCs/>
          <w:sz w:val="32"/>
          <w:szCs w:val="32"/>
        </w:rPr>
        <w:t>条 争议解决</w:t>
      </w:r>
    </w:p>
    <w:p w14:paraId="653E5023">
      <w:pPr>
        <w:pStyle w:val="11"/>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14:paraId="55C12AED">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十</w:t>
      </w:r>
      <w:r>
        <w:rPr>
          <w:rFonts w:hint="eastAsia" w:ascii="黑体" w:hAnsi="黑体" w:eastAsia="黑体" w:cs="黑体"/>
          <w:bCs/>
          <w:sz w:val="32"/>
          <w:szCs w:val="32"/>
        </w:rPr>
        <w:t>条 附则</w:t>
      </w:r>
    </w:p>
    <w:p w14:paraId="38EC7B18">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lang w:val="en-US" w:eastAsia="zh-CN"/>
        </w:rPr>
        <w:t>捌</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陆</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贰</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份，具有同等法律效力。</w:t>
      </w:r>
    </w:p>
    <w:p w14:paraId="0D82DC48">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2.本合同自双方法定代表人或授权代表签名并加盖公章之日起生效。</w:t>
      </w:r>
    </w:p>
    <w:p w14:paraId="332D2CE9">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14:paraId="2C2737C9">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7B24FC08">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4A7AD7F9">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17015D07">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65A025DE">
      <w:pPr>
        <w:spacing w:line="240" w:lineRule="auto"/>
        <w:ind w:firstLine="0" w:firstLineChars="0"/>
        <w:rPr>
          <w:rFonts w:ascii="仿宋_GB2312" w:hAnsi="仿宋_GB2312" w:cs="仿宋_GB2312"/>
          <w:color w:val="000000"/>
          <w:sz w:val="32"/>
          <w:szCs w:val="32"/>
        </w:rPr>
      </w:pPr>
      <w:r>
        <w:rPr>
          <w:rFonts w:ascii="仿宋_GB2312" w:hAnsi="仿宋_GB2312" w:cs="仿宋_GB2312"/>
          <w:color w:val="000000"/>
          <w:sz w:val="32"/>
          <w:szCs w:val="32"/>
        </w:rPr>
        <w:br w:type="page"/>
      </w:r>
    </w:p>
    <w:p w14:paraId="7926AA0E">
      <w:pPr>
        <w:pStyle w:val="8"/>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9"/>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56C0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3274FF98">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14:paraId="37A8FA35">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14:paraId="3ABE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151FCEE7">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2EB4C777">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14:paraId="22E94A74">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366C1539">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14:paraId="049E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1A545933">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14:paraId="66AC64F5">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14:paraId="4485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4D0FBA2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14:paraId="72835BC0">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14:paraId="277E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605948CE">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14:paraId="70450B98">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14:paraId="0A1F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07794E5F">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14:paraId="4417662F">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14:paraId="025F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392E1469">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14:paraId="624AC7CC">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5CBB3694">
      <w:pPr>
        <w:pStyle w:val="8"/>
        <w:widowControl w:val="0"/>
        <w:spacing w:before="0" w:beforeAutospacing="0" w:after="0" w:afterAutospacing="0"/>
        <w:ind w:firstLine="480"/>
        <w:jc w:val="both"/>
        <w:rPr>
          <w:rFonts w:ascii="宋体" w:hAnsi="宋体" w:cs="宋体"/>
          <w:color w:val="000000"/>
        </w:rPr>
      </w:pPr>
    </w:p>
    <w:sectPr>
      <w:headerReference r:id="rId7" w:type="first"/>
      <w:footerReference r:id="rId10" w:type="first"/>
      <w:headerReference r:id="rId5" w:type="default"/>
      <w:footerReference r:id="rId8" w:type="default"/>
      <w:headerReference r:id="rId6" w:type="even"/>
      <w:footerReference r:id="rId9" w:type="even"/>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4B84">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AB381">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9AB381">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8526">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CFD4">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AFC2B">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06B47">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238DD">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1FC0A"/>
    <w:multiLevelType w:val="singleLevel"/>
    <w:tmpl w:val="09E1FC0A"/>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trackRevisions w:val="1"/>
  <w:documentProtection w:enforcement="0"/>
  <w:defaultTabStop w:val="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CE2B10"/>
    <w:rsid w:val="001A15A1"/>
    <w:rsid w:val="001F3168"/>
    <w:rsid w:val="0028670C"/>
    <w:rsid w:val="003268C5"/>
    <w:rsid w:val="0033276D"/>
    <w:rsid w:val="00360C70"/>
    <w:rsid w:val="003975FB"/>
    <w:rsid w:val="00435BF7"/>
    <w:rsid w:val="004B7DA2"/>
    <w:rsid w:val="00501665"/>
    <w:rsid w:val="00683620"/>
    <w:rsid w:val="009E51C4"/>
    <w:rsid w:val="00B4582B"/>
    <w:rsid w:val="00B66859"/>
    <w:rsid w:val="00C538EE"/>
    <w:rsid w:val="00C95D2D"/>
    <w:rsid w:val="00CE2B10"/>
    <w:rsid w:val="00E72E26"/>
    <w:rsid w:val="00E90012"/>
    <w:rsid w:val="00F011F9"/>
    <w:rsid w:val="01BC3B5D"/>
    <w:rsid w:val="06522598"/>
    <w:rsid w:val="0BE67494"/>
    <w:rsid w:val="0EA21A03"/>
    <w:rsid w:val="0F176051"/>
    <w:rsid w:val="10E31E45"/>
    <w:rsid w:val="115B2D88"/>
    <w:rsid w:val="12EA706A"/>
    <w:rsid w:val="14A23AEA"/>
    <w:rsid w:val="154F7486"/>
    <w:rsid w:val="1578662C"/>
    <w:rsid w:val="16137D12"/>
    <w:rsid w:val="168453DE"/>
    <w:rsid w:val="188E5814"/>
    <w:rsid w:val="1C18782E"/>
    <w:rsid w:val="1C50581A"/>
    <w:rsid w:val="20F36B91"/>
    <w:rsid w:val="22883B1E"/>
    <w:rsid w:val="24AE0D3C"/>
    <w:rsid w:val="25FA5C38"/>
    <w:rsid w:val="2980149B"/>
    <w:rsid w:val="2BBB0942"/>
    <w:rsid w:val="2D0E2A7A"/>
    <w:rsid w:val="2F3D64FA"/>
    <w:rsid w:val="30754091"/>
    <w:rsid w:val="31C17D6A"/>
    <w:rsid w:val="32B114BB"/>
    <w:rsid w:val="386B3826"/>
    <w:rsid w:val="39EA610D"/>
    <w:rsid w:val="3A365C79"/>
    <w:rsid w:val="3C274F01"/>
    <w:rsid w:val="3E52787A"/>
    <w:rsid w:val="3E823D9C"/>
    <w:rsid w:val="3F5E4A9C"/>
    <w:rsid w:val="40BF6865"/>
    <w:rsid w:val="41570042"/>
    <w:rsid w:val="41F02331"/>
    <w:rsid w:val="4274258B"/>
    <w:rsid w:val="446F1B9F"/>
    <w:rsid w:val="47512DC0"/>
    <w:rsid w:val="476D68D3"/>
    <w:rsid w:val="48A72C1A"/>
    <w:rsid w:val="48D9656D"/>
    <w:rsid w:val="4A2D016F"/>
    <w:rsid w:val="4D115B26"/>
    <w:rsid w:val="4D19148D"/>
    <w:rsid w:val="4D945ADE"/>
    <w:rsid w:val="510104F3"/>
    <w:rsid w:val="54BC65C4"/>
    <w:rsid w:val="552F7858"/>
    <w:rsid w:val="55621D4E"/>
    <w:rsid w:val="5B9E55DE"/>
    <w:rsid w:val="5C3E70EF"/>
    <w:rsid w:val="5F9C0465"/>
    <w:rsid w:val="65780A9F"/>
    <w:rsid w:val="6A1E03BA"/>
    <w:rsid w:val="6A9C4677"/>
    <w:rsid w:val="6B175E4E"/>
    <w:rsid w:val="6DA822F6"/>
    <w:rsid w:val="71947006"/>
    <w:rsid w:val="73944E59"/>
    <w:rsid w:val="74154289"/>
    <w:rsid w:val="74A67C70"/>
    <w:rsid w:val="74B93933"/>
    <w:rsid w:val="78230469"/>
    <w:rsid w:val="799D7414"/>
    <w:rsid w:val="7B340AAD"/>
    <w:rsid w:val="7E24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3">
    <w:name w:val="heading 1"/>
    <w:basedOn w:val="1"/>
    <w:next w:val="1"/>
    <w:qFormat/>
    <w:uiPriority w:val="9"/>
    <w:pPr>
      <w:keepLines/>
      <w:ind w:firstLine="0" w:firstLineChars="0"/>
      <w:jc w:val="center"/>
      <w:outlineLvl w:val="0"/>
    </w:pPr>
    <w:rPr>
      <w:b/>
      <w:color w:val="000000"/>
      <w:sz w:val="36"/>
    </w:rPr>
  </w:style>
  <w:style w:type="paragraph" w:styleId="4">
    <w:name w:val="heading 3"/>
    <w:basedOn w:val="1"/>
    <w:next w:val="1"/>
    <w:qFormat/>
    <w:uiPriority w:val="9"/>
    <w:pPr>
      <w:keepLines/>
      <w:outlineLvl w:val="2"/>
    </w:pPr>
    <w:rPr>
      <w:rFonts w:eastAsia="黑体"/>
      <w:color w:val="000000"/>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516"/>
    </w:pPr>
    <w:rPr>
      <w:rFonts w:ascii="宋体" w:hAnsi="宋体" w:eastAsia="宋体"/>
      <w:sz w:val="20"/>
    </w:rPr>
  </w:style>
  <w:style w:type="paragraph" w:styleId="5">
    <w:name w:val="Plain Text"/>
    <w:basedOn w:val="1"/>
    <w:qFormat/>
    <w:uiPriority w:val="0"/>
    <w:rPr>
      <w:rFonts w:ascii="宋体" w:hAnsi="Courier New"/>
      <w:szCs w:val="21"/>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8">
    <w:name w:val="Normal (Web)"/>
    <w:basedOn w:val="1"/>
    <w:qFormat/>
    <w:uiPriority w:val="99"/>
    <w:pPr>
      <w:spacing w:before="100" w:beforeAutospacing="1" w:after="100" w:afterAutospacing="1"/>
    </w:pPr>
  </w:style>
  <w:style w:type="paragraph" w:customStyle="1" w:styleId="11">
    <w:name w:val="正文1"/>
    <w:basedOn w:val="5"/>
    <w:next w:val="12"/>
    <w:qFormat/>
    <w:uiPriority w:val="0"/>
    <w:rPr>
      <w:rFonts w:ascii="Calibri" w:hAnsi="Calibri"/>
      <w:szCs w:val="22"/>
    </w:rPr>
  </w:style>
  <w:style w:type="paragraph" w:customStyle="1" w:styleId="12">
    <w:name w:val="纯文本1"/>
    <w:basedOn w:val="1"/>
    <w:qFormat/>
    <w:uiPriority w:val="0"/>
    <w:rPr>
      <w:rFonts w:ascii="宋体" w:hAnsi="Courier New" w:cs="Courier New"/>
      <w:szCs w:val="21"/>
    </w:r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customStyle="1" w:styleId="17">
    <w:name w:val="Revision"/>
    <w:hidden/>
    <w:unhideWhenUsed/>
    <w:qFormat/>
    <w:uiPriority w:val="99"/>
    <w:rPr>
      <w:rFonts w:ascii="Times New Roman" w:hAnsi="Times New Roman"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2185</Words>
  <Characters>2283</Characters>
  <Lines>19</Lines>
  <Paragraphs>5</Paragraphs>
  <TotalTime>0</TotalTime>
  <ScaleCrop>false</ScaleCrop>
  <LinksUpToDate>false</LinksUpToDate>
  <CharactersWithSpaces>2634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Peterson。</cp:lastModifiedBy>
  <cp:lastPrinted>2024-05-17T02:38:00Z</cp:lastPrinted>
  <dcterms:modified xsi:type="dcterms:W3CDTF">2025-12-23T06:40:47Z</dcterms:modified>
  <dc:title>一般商品买卖合同（简单版）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FB6F2E51401E4B9B9A6709B4ADC71EFC</vt:lpwstr>
  </property>
  <property fmtid="{D5CDD505-2E9C-101B-9397-08002B2CF9AE}" pid="4" name="KSOTemplateDocerSaveRecord">
    <vt:lpwstr>eyJoZGlkIjoiOGRmNzE3NGQxMzBkYTVkZDcwNjllNjUxYzYxNmM1MzMiLCJ1c2VySWQiOiIyMTI1MzEyMTMifQ==</vt:lpwstr>
  </property>
</Properties>
</file>