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CF58">
      <w:pPr>
        <w:pStyle w:val="2"/>
        <w:spacing w:line="360" w:lineRule="auto"/>
        <w:jc w:val="center"/>
        <w:rPr>
          <w:color w:val="auto"/>
          <w:highlight w:val="none"/>
        </w:rPr>
      </w:pPr>
      <w:bookmarkStart w:id="0" w:name="_Toc20851"/>
      <w:bookmarkStart w:id="1" w:name="_Toc7332"/>
      <w:bookmarkStart w:id="2" w:name="_Toc17651"/>
      <w:r>
        <w:rPr>
          <w:rFonts w:hint="eastAsia"/>
          <w:color w:val="auto"/>
          <w:highlight w:val="none"/>
        </w:rPr>
        <w:t>合同条款及格式</w:t>
      </w:r>
      <w:bookmarkEnd w:id="0"/>
      <w:bookmarkEnd w:id="1"/>
      <w:bookmarkEnd w:id="2"/>
    </w:p>
    <w:p w14:paraId="69B10F7D">
      <w:pPr>
        <w:spacing w:line="360" w:lineRule="auto"/>
        <w:jc w:val="center"/>
        <w:rPr>
          <w:rFonts w:ascii="宋体" w:hAnsi="宋体"/>
          <w:b/>
          <w:color w:val="auto"/>
          <w:sz w:val="44"/>
          <w:szCs w:val="44"/>
          <w:highlight w:val="none"/>
        </w:rPr>
      </w:pPr>
      <w:r>
        <w:rPr>
          <w:rFonts w:hint="eastAsia"/>
          <w:b/>
          <w:bCs/>
          <w:color w:val="auto"/>
          <w:sz w:val="28"/>
          <w:szCs w:val="36"/>
          <w:highlight w:val="none"/>
        </w:rPr>
        <w:t>（仅供参考，具体以实际签订内容为准）</w:t>
      </w:r>
    </w:p>
    <w:p w14:paraId="53A5CA39">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079A9E69">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center"/>
        <w:textAlignment w:val="baseline"/>
        <w:rPr>
          <w:rFonts w:ascii="Times New Roman" w:hAnsi="Times New Roman" w:eastAsia="宋体" w:cs="Times New Roman"/>
          <w:kern w:val="2"/>
          <w:sz w:val="24"/>
          <w:szCs w:val="24"/>
          <w:lang w:bidi="ar-SA"/>
        </w:rPr>
      </w:pPr>
    </w:p>
    <w:p w14:paraId="204E16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outlineLvl w:val="0"/>
        <w:rPr>
          <w:rFonts w:ascii="黑体" w:hAnsi="黑体" w:eastAsia="黑体" w:cs="黑体"/>
          <w:snapToGrid w:val="0"/>
          <w:color w:val="000000"/>
          <w:kern w:val="0"/>
          <w:sz w:val="44"/>
          <w:szCs w:val="44"/>
          <w:lang w:eastAsia="en-US"/>
        </w:rPr>
      </w:pPr>
      <w:r>
        <w:rPr>
          <w:rFonts w:hint="eastAsia" w:ascii="黑体" w:hAnsi="黑体" w:eastAsia="黑体" w:cs="黑体"/>
          <w:b/>
          <w:bCs/>
          <w:snapToGrid w:val="0"/>
          <w:color w:val="000000"/>
          <w:spacing w:val="31"/>
          <w:kern w:val="0"/>
          <w:sz w:val="44"/>
          <w:szCs w:val="44"/>
          <w:lang w:eastAsia="zh-CN"/>
        </w:rPr>
        <w:t>观湖北及福城南产业片区土地整备利益统筹项目已入库地块围挡维护维修</w:t>
      </w:r>
      <w:r>
        <w:rPr>
          <w:rFonts w:ascii="黑体" w:hAnsi="黑体" w:eastAsia="黑体" w:cs="黑体"/>
          <w:b/>
          <w:bCs/>
          <w:snapToGrid w:val="0"/>
          <w:color w:val="000000"/>
          <w:spacing w:val="31"/>
          <w:kern w:val="0"/>
          <w:sz w:val="44"/>
          <w:szCs w:val="44"/>
          <w:lang w:eastAsia="en-US"/>
        </w:rPr>
        <w:t>合同</w:t>
      </w:r>
    </w:p>
    <w:p w14:paraId="13DD8E18">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880" w:firstLineChars="200"/>
        <w:jc w:val="center"/>
        <w:textAlignment w:val="baseline"/>
        <w:rPr>
          <w:rFonts w:hint="eastAsia" w:ascii="黑体" w:hAnsi="黑体" w:eastAsia="黑体" w:cs="黑体"/>
          <w:kern w:val="2"/>
          <w:sz w:val="44"/>
          <w:szCs w:val="44"/>
          <w:lang w:eastAsia="zh-CN" w:bidi="ar-SA"/>
        </w:rPr>
      </w:pPr>
      <w:r>
        <w:rPr>
          <w:rFonts w:hint="eastAsia" w:ascii="黑体" w:hAnsi="黑体" w:eastAsia="黑体" w:cs="黑体"/>
          <w:kern w:val="2"/>
          <w:sz w:val="44"/>
          <w:szCs w:val="44"/>
          <w:lang w:eastAsia="zh-CN" w:bidi="ar-SA"/>
        </w:rPr>
        <w:t>（</w:t>
      </w:r>
      <w:r>
        <w:rPr>
          <w:rFonts w:hint="eastAsia" w:ascii="黑体" w:hAnsi="黑体" w:eastAsia="黑体" w:cs="黑体"/>
          <w:kern w:val="2"/>
          <w:sz w:val="44"/>
          <w:szCs w:val="44"/>
          <w:lang w:val="en-US" w:eastAsia="zh-CN" w:bidi="ar-SA"/>
        </w:rPr>
        <w:t>围挡材料及围挡配件</w:t>
      </w:r>
      <w:r>
        <w:rPr>
          <w:rFonts w:hint="eastAsia" w:ascii="黑体" w:hAnsi="黑体" w:eastAsia="黑体" w:cs="黑体"/>
          <w:kern w:val="2"/>
          <w:sz w:val="44"/>
          <w:szCs w:val="44"/>
          <w:lang w:eastAsia="zh-CN" w:bidi="ar-SA"/>
        </w:rPr>
        <w:t>）</w:t>
      </w:r>
    </w:p>
    <w:p w14:paraId="0E90531B">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735B2B96">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bookmarkStart w:id="3" w:name="_GoBack"/>
      <w:bookmarkEnd w:id="3"/>
    </w:p>
    <w:p w14:paraId="74F038B9">
      <w:pPr>
        <w:keepNext w:val="0"/>
        <w:keepLines w:val="0"/>
        <w:pageBreakBefore w:val="0"/>
        <w:widowControl/>
        <w:kinsoku w:val="0"/>
        <w:wordWrap/>
        <w:overflowPunct/>
        <w:topLinePunct w:val="0"/>
        <w:autoSpaceDE w:val="0"/>
        <w:autoSpaceDN w:val="0"/>
        <w:bidi w:val="0"/>
        <w:adjustRightInd w:val="0"/>
        <w:snapToGrid w:val="0"/>
        <w:spacing w:before="104" w:line="360" w:lineRule="auto"/>
        <w:ind w:left="848"/>
        <w:jc w:val="left"/>
        <w:textAlignment w:val="baseline"/>
        <w:rPr>
          <w:rFonts w:ascii="黑体" w:hAnsi="黑体" w:eastAsia="黑体" w:cs="黑体"/>
          <w:snapToGrid w:val="0"/>
          <w:color w:val="000000"/>
          <w:kern w:val="0"/>
          <w:sz w:val="32"/>
          <w:szCs w:val="32"/>
          <w:lang w:eastAsia="en-US"/>
        </w:rPr>
      </w:pPr>
      <w:r>
        <w:rPr>
          <w:rFonts w:ascii="黑体" w:hAnsi="黑体" w:eastAsia="黑体" w:cs="黑体"/>
          <w:b/>
          <w:bCs/>
          <w:snapToGrid w:val="0"/>
          <w:color w:val="000000"/>
          <w:spacing w:val="-3"/>
          <w:kern w:val="0"/>
          <w:sz w:val="32"/>
          <w:szCs w:val="32"/>
          <w:lang w:eastAsia="en-US"/>
        </w:rPr>
        <w:t>合同编号：</w:t>
      </w:r>
    </w:p>
    <w:p w14:paraId="39EC0E2B">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57C36281">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24F0E544">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0A779026">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5CB02109">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270E1508">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7AB146F2">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14F94948">
      <w:pPr>
        <w:keepNext w:val="0"/>
        <w:keepLines w:val="0"/>
        <w:pageBreakBefore w:val="0"/>
        <w:widowControl/>
        <w:kinsoku w:val="0"/>
        <w:wordWrap/>
        <w:overflowPunct/>
        <w:topLinePunct w:val="0"/>
        <w:autoSpaceDE w:val="0"/>
        <w:autoSpaceDN w:val="0"/>
        <w:bidi w:val="0"/>
        <w:adjustRightInd w:val="0"/>
        <w:snapToGrid w:val="0"/>
        <w:spacing w:before="104" w:line="360" w:lineRule="auto"/>
        <w:ind w:left="713"/>
        <w:jc w:val="left"/>
        <w:textAlignment w:val="baseline"/>
        <w:rPr>
          <w:rFonts w:hint="eastAsia" w:ascii="黑体" w:hAnsi="黑体" w:eastAsia="黑体" w:cs="黑体"/>
          <w:snapToGrid w:val="0"/>
          <w:color w:val="000000"/>
          <w:kern w:val="0"/>
          <w:sz w:val="32"/>
          <w:szCs w:val="32"/>
          <w:lang w:eastAsia="zh-CN"/>
        </w:rPr>
      </w:pPr>
      <w:r>
        <w:rPr>
          <w:rFonts w:ascii="黑体" w:hAnsi="黑体" w:eastAsia="黑体" w:cs="黑体"/>
          <w:snapToGrid w:val="0"/>
          <w:color w:val="000000"/>
          <w:spacing w:val="19"/>
          <w:kern w:val="0"/>
          <w:sz w:val="32"/>
          <w:szCs w:val="32"/>
          <w:lang w:eastAsia="en-US"/>
        </w:rPr>
        <w:t>委托人(甲方):</w:t>
      </w:r>
      <w:r>
        <w:rPr>
          <w:rFonts w:hint="eastAsia" w:ascii="黑体" w:hAnsi="黑体" w:eastAsia="黑体" w:cs="黑体"/>
          <w:snapToGrid w:val="0"/>
          <w:color w:val="000000"/>
          <w:spacing w:val="19"/>
          <w:kern w:val="0"/>
          <w:sz w:val="32"/>
          <w:szCs w:val="32"/>
          <w:u w:val="single" w:color="auto"/>
          <w:lang w:eastAsia="zh-CN"/>
        </w:rPr>
        <w:t>深圳市龙华保安服务有限公司</w:t>
      </w:r>
    </w:p>
    <w:p w14:paraId="4817EABC">
      <w:pPr>
        <w:keepNext w:val="0"/>
        <w:keepLines w:val="0"/>
        <w:pageBreakBefore w:val="0"/>
        <w:widowControl/>
        <w:kinsoku w:val="0"/>
        <w:wordWrap/>
        <w:overflowPunct/>
        <w:topLinePunct w:val="0"/>
        <w:autoSpaceDE w:val="0"/>
        <w:autoSpaceDN w:val="0"/>
        <w:bidi w:val="0"/>
        <w:adjustRightInd w:val="0"/>
        <w:snapToGrid w:val="0"/>
        <w:spacing w:before="104" w:line="360" w:lineRule="auto"/>
        <w:ind w:left="733"/>
        <w:jc w:val="left"/>
        <w:textAlignment w:val="baseline"/>
        <w:rPr>
          <w:rFonts w:hint="default" w:ascii="黑体" w:hAnsi="黑体" w:eastAsia="黑体" w:cs="黑体"/>
          <w:snapToGrid w:val="0"/>
          <w:color w:val="000000"/>
          <w:kern w:val="0"/>
          <w:sz w:val="32"/>
          <w:szCs w:val="32"/>
          <w:lang w:val="en-US" w:eastAsia="zh-CN"/>
        </w:rPr>
      </w:pPr>
      <w:r>
        <w:rPr>
          <w:rFonts w:ascii="黑体" w:hAnsi="黑体" w:eastAsia="黑体" w:cs="黑体"/>
          <w:snapToGrid w:val="0"/>
          <w:color w:val="000000"/>
          <w:spacing w:val="23"/>
          <w:kern w:val="0"/>
          <w:sz w:val="32"/>
          <w:szCs w:val="32"/>
          <w:lang w:eastAsia="en-US"/>
        </w:rPr>
        <w:t>受托人(乙方):</w:t>
      </w:r>
      <w:r>
        <w:rPr>
          <w:rFonts w:hint="eastAsia" w:ascii="黑体" w:hAnsi="黑体" w:eastAsia="黑体" w:cs="黑体"/>
          <w:snapToGrid w:val="0"/>
          <w:color w:val="000000"/>
          <w:spacing w:val="23"/>
          <w:kern w:val="0"/>
          <w:sz w:val="32"/>
          <w:szCs w:val="32"/>
          <w:u w:val="single"/>
          <w:lang w:val="en-US" w:eastAsia="zh-CN"/>
        </w:rPr>
        <w:t xml:space="preserve">                  </w:t>
      </w:r>
    </w:p>
    <w:p w14:paraId="2FBC09B0">
      <w:pPr>
        <w:keepNext w:val="0"/>
        <w:keepLines w:val="0"/>
        <w:pageBreakBefore w:val="0"/>
        <w:widowControl/>
        <w:kinsoku w:val="0"/>
        <w:wordWrap/>
        <w:overflowPunct/>
        <w:topLinePunct w:val="0"/>
        <w:autoSpaceDE w:val="0"/>
        <w:autoSpaceDN w:val="0"/>
        <w:bidi w:val="0"/>
        <w:adjustRightInd w:val="0"/>
        <w:snapToGrid w:val="0"/>
        <w:spacing w:before="104" w:line="360" w:lineRule="auto"/>
        <w:ind w:firstLine="952" w:firstLineChars="300"/>
        <w:jc w:val="left"/>
        <w:textAlignment w:val="baseline"/>
        <w:rPr>
          <w:rFonts w:ascii="黑体" w:hAnsi="黑体" w:eastAsia="黑体" w:cs="黑体"/>
          <w:sz w:val="32"/>
          <w:szCs w:val="32"/>
        </w:rPr>
        <w:sectPr>
          <w:pgSz w:w="11900" w:h="16830"/>
          <w:pgMar w:top="1430" w:right="1450" w:bottom="0" w:left="1636" w:header="0" w:footer="0" w:gutter="0"/>
          <w:cols w:space="720" w:num="1"/>
        </w:sectPr>
      </w:pPr>
      <w:r>
        <w:rPr>
          <w:rFonts w:ascii="黑体" w:hAnsi="黑体" w:eastAsia="黑体" w:cs="黑体"/>
          <w:b/>
          <w:bCs/>
          <w:snapToGrid w:val="0"/>
          <w:color w:val="000000"/>
          <w:spacing w:val="-2"/>
          <w:kern w:val="0"/>
          <w:sz w:val="32"/>
          <w:szCs w:val="32"/>
          <w:lang w:eastAsia="en-US"/>
        </w:rPr>
        <w:t>签订日期：</w:t>
      </w:r>
      <w:r>
        <w:rPr>
          <w:rFonts w:hint="eastAsia" w:ascii="黑体" w:hAnsi="黑体" w:eastAsia="黑体" w:cs="黑体"/>
          <w:snapToGrid w:val="0"/>
          <w:color w:val="000000"/>
          <w:spacing w:val="23"/>
          <w:kern w:val="0"/>
          <w:sz w:val="32"/>
          <w:szCs w:val="32"/>
          <w:u w:val="single"/>
          <w:lang w:val="en-US" w:eastAsia="zh-CN"/>
        </w:rPr>
        <w:t xml:space="preserve">    </w:t>
      </w:r>
      <w:r>
        <w:rPr>
          <w:rFonts w:ascii="黑体" w:hAnsi="黑体" w:eastAsia="黑体" w:cs="黑体"/>
          <w:b/>
          <w:bCs/>
          <w:snapToGrid w:val="0"/>
          <w:color w:val="000000"/>
          <w:spacing w:val="-2"/>
          <w:kern w:val="0"/>
          <w:sz w:val="32"/>
          <w:szCs w:val="32"/>
          <w:lang w:eastAsia="en-US"/>
        </w:rPr>
        <w:t>年</w:t>
      </w:r>
      <w:r>
        <w:rPr>
          <w:rFonts w:hint="eastAsia" w:ascii="黑体" w:hAnsi="黑体" w:eastAsia="黑体" w:cs="黑体"/>
          <w:snapToGrid w:val="0"/>
          <w:color w:val="000000"/>
          <w:spacing w:val="23"/>
          <w:kern w:val="0"/>
          <w:sz w:val="32"/>
          <w:szCs w:val="32"/>
          <w:u w:val="single"/>
          <w:lang w:val="en-US" w:eastAsia="zh-CN"/>
        </w:rPr>
        <w:t xml:space="preserve">    </w:t>
      </w:r>
      <w:r>
        <w:rPr>
          <w:rFonts w:ascii="黑体" w:hAnsi="黑体" w:eastAsia="黑体" w:cs="黑体"/>
          <w:b/>
          <w:bCs/>
          <w:snapToGrid w:val="0"/>
          <w:color w:val="000000"/>
          <w:spacing w:val="-2"/>
          <w:kern w:val="0"/>
          <w:sz w:val="32"/>
          <w:szCs w:val="32"/>
          <w:lang w:eastAsia="en-US"/>
        </w:rPr>
        <w:t>月</w:t>
      </w:r>
      <w:r>
        <w:rPr>
          <w:rFonts w:hint="eastAsia" w:ascii="黑体" w:hAnsi="黑体" w:eastAsia="黑体" w:cs="黑体"/>
          <w:snapToGrid w:val="0"/>
          <w:color w:val="000000"/>
          <w:spacing w:val="23"/>
          <w:kern w:val="0"/>
          <w:sz w:val="32"/>
          <w:szCs w:val="32"/>
          <w:u w:val="single"/>
          <w:lang w:val="en-US" w:eastAsia="zh-CN"/>
        </w:rPr>
        <w:t xml:space="preserve">    </w:t>
      </w:r>
    </w:p>
    <w:p w14:paraId="27C9CB73">
      <w:pPr>
        <w:spacing w:before="120" w:line="276" w:lineRule="auto"/>
        <w:ind w:firstLine="359"/>
        <w:rPr>
          <w:rFonts w:hint="eastAsia" w:ascii="宋体" w:hAnsi="宋体" w:eastAsia="宋体" w:cs="宋体"/>
          <w:sz w:val="24"/>
          <w:u w:val="single"/>
        </w:rPr>
      </w:pPr>
      <w:r>
        <w:rPr>
          <w:rFonts w:hint="eastAsia" w:ascii="宋体" w:hAnsi="宋体" w:eastAsia="宋体" w:cs="宋体"/>
          <w:sz w:val="24"/>
        </w:rPr>
        <w:t>甲方（买方）：</w:t>
      </w:r>
      <w:r>
        <w:rPr>
          <w:rFonts w:hint="eastAsia" w:ascii="宋体" w:hAnsi="宋体" w:eastAsia="宋体" w:cs="宋体"/>
          <w:sz w:val="24"/>
          <w:u w:val="single"/>
        </w:rPr>
        <w:t xml:space="preserve">    </w:t>
      </w:r>
      <w:r>
        <w:rPr>
          <w:rFonts w:hint="eastAsia" w:ascii="宋体" w:hAnsi="宋体" w:eastAsia="宋体" w:cs="宋体"/>
          <w:sz w:val="24"/>
          <w:u w:val="single"/>
          <w:lang w:eastAsia="zh-CN"/>
        </w:rPr>
        <w:t>深圳市龙华保安服务有限公司</w:t>
      </w:r>
      <w:r>
        <w:rPr>
          <w:rFonts w:hint="eastAsia" w:ascii="宋体" w:hAnsi="宋体" w:eastAsia="宋体" w:cs="宋体"/>
          <w:sz w:val="24"/>
          <w:u w:val="single"/>
        </w:rPr>
        <w:t xml:space="preserve">                           </w:t>
      </w:r>
    </w:p>
    <w:p w14:paraId="315BA335">
      <w:pPr>
        <w:spacing w:before="120" w:line="276" w:lineRule="auto"/>
        <w:ind w:firstLine="359"/>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lang w:eastAsia="zh-CN"/>
        </w:rPr>
        <w:t>深圳市龙华区观湖街道鹭湖社区观盛三路10号龙馨家园A栋12楼</w:t>
      </w:r>
      <w:r>
        <w:rPr>
          <w:rFonts w:hint="eastAsia" w:ascii="宋体" w:hAnsi="宋体" w:eastAsia="宋体" w:cs="宋体"/>
          <w:sz w:val="24"/>
          <w:u w:val="single"/>
        </w:rPr>
        <w:t xml:space="preserve">       </w:t>
      </w:r>
    </w:p>
    <w:p w14:paraId="6B3F9AC3">
      <w:pPr>
        <w:spacing w:line="276" w:lineRule="auto"/>
        <w:ind w:firstLine="359"/>
        <w:rPr>
          <w:rFonts w:hint="eastAsia" w:ascii="宋体" w:hAnsi="宋体" w:eastAsia="宋体" w:cs="宋体"/>
          <w:sz w:val="24"/>
        </w:rPr>
      </w:pPr>
    </w:p>
    <w:p w14:paraId="64337340">
      <w:pPr>
        <w:spacing w:before="120" w:line="276" w:lineRule="auto"/>
        <w:ind w:firstLine="359"/>
        <w:rPr>
          <w:rFonts w:hint="eastAsia" w:ascii="宋体" w:hAnsi="宋体" w:eastAsia="宋体" w:cs="宋体"/>
          <w:sz w:val="24"/>
          <w:u w:val="single"/>
        </w:rPr>
      </w:pPr>
      <w:r>
        <w:rPr>
          <w:rFonts w:hint="eastAsia" w:ascii="宋体" w:hAnsi="宋体" w:eastAsia="宋体" w:cs="宋体"/>
          <w:sz w:val="24"/>
        </w:rPr>
        <w:t>乙方（卖方）：</w:t>
      </w:r>
      <w:r>
        <w:rPr>
          <w:rFonts w:hint="eastAsia" w:ascii="宋体" w:hAnsi="宋体" w:eastAsia="宋体" w:cs="宋体"/>
          <w:sz w:val="24"/>
          <w:u w:val="single"/>
        </w:rPr>
        <w:t xml:space="preserve">                                            </w:t>
      </w:r>
    </w:p>
    <w:p w14:paraId="01287A87">
      <w:pPr>
        <w:spacing w:before="120" w:line="276" w:lineRule="auto"/>
        <w:ind w:firstLine="359"/>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p>
    <w:p w14:paraId="045A1E7A">
      <w:pPr>
        <w:spacing w:line="276" w:lineRule="auto"/>
        <w:ind w:firstLine="359"/>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01E2948A">
      <w:pPr>
        <w:spacing w:before="120" w:line="400" w:lineRule="exact"/>
        <w:rPr>
          <w:rFonts w:hint="eastAsia" w:ascii="宋体" w:hAnsi="宋体" w:eastAsia="宋体" w:cs="宋体"/>
          <w:sz w:val="24"/>
          <w:u w:val="single"/>
          <w:lang w:val="it-IT"/>
        </w:rPr>
      </w:pPr>
    </w:p>
    <w:p w14:paraId="49B9C80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甲、乙双方根据《中华人民共和国民法典》和编号为【   】的招标文件以及乙方的投标文件，就甲方向乙方购买</w:t>
      </w:r>
      <w:r>
        <w:rPr>
          <w:rFonts w:hint="eastAsia" w:ascii="宋体" w:hAnsi="宋体" w:eastAsia="宋体" w:cs="宋体"/>
          <w:sz w:val="24"/>
          <w:u w:val="single"/>
        </w:rPr>
        <w:t xml:space="preserve">         </w:t>
      </w:r>
      <w:r>
        <w:rPr>
          <w:rFonts w:hint="eastAsia" w:ascii="宋体" w:hAnsi="宋体" w:eastAsia="宋体" w:cs="宋体"/>
          <w:sz w:val="24"/>
        </w:rPr>
        <w:t>之事宜，经甲、乙双方</w:t>
      </w:r>
      <w:r>
        <w:rPr>
          <w:rFonts w:hint="eastAsia" w:ascii="宋体" w:hAnsi="宋体" w:eastAsia="宋体" w:cs="宋体"/>
          <w:spacing w:val="10"/>
          <w:sz w:val="24"/>
        </w:rPr>
        <w:t>友好</w:t>
      </w:r>
      <w:r>
        <w:rPr>
          <w:rFonts w:hint="eastAsia" w:ascii="宋体" w:hAnsi="宋体" w:eastAsia="宋体" w:cs="宋体"/>
          <w:sz w:val="24"/>
        </w:rPr>
        <w:t>协商一致，达成如下协议，以兹共同遵守。</w:t>
      </w:r>
    </w:p>
    <w:p w14:paraId="06E5843C">
      <w:pPr>
        <w:snapToGrid w:val="0"/>
        <w:spacing w:line="360" w:lineRule="auto"/>
        <w:rPr>
          <w:rFonts w:hint="eastAsia" w:ascii="宋体" w:hAnsi="宋体" w:eastAsia="宋体" w:cs="宋体"/>
          <w:b/>
          <w:bCs/>
          <w:sz w:val="24"/>
        </w:rPr>
      </w:pPr>
    </w:p>
    <w:p w14:paraId="7D6243FD">
      <w:pPr>
        <w:widowControl w:val="0"/>
        <w:numPr>
          <w:ilvl w:val="0"/>
          <w:numId w:val="1"/>
        </w:numPr>
        <w:snapToGrid w:val="0"/>
        <w:spacing w:line="360" w:lineRule="auto"/>
        <w:ind w:left="1266" w:hanging="840" w:firstLineChars="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合同标的物情况</w:t>
      </w:r>
    </w:p>
    <w:p w14:paraId="5880DE77">
      <w:pPr>
        <w:snapToGrid w:val="0"/>
        <w:spacing w:line="360" w:lineRule="auto"/>
        <w:rPr>
          <w:rFonts w:hint="eastAsia" w:ascii="宋体" w:hAnsi="宋体" w:eastAsia="宋体" w:cs="宋体"/>
          <w:b/>
          <w:sz w:val="24"/>
        </w:rPr>
      </w:pPr>
    </w:p>
    <w:tbl>
      <w:tblPr>
        <w:tblStyle w:val="5"/>
        <w:tblW w:w="0" w:type="auto"/>
        <w:tblCellSpacing w:w="0"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30" w:type="dxa"/>
          <w:left w:w="30" w:type="dxa"/>
          <w:bottom w:w="30" w:type="dxa"/>
          <w:right w:w="30" w:type="dxa"/>
        </w:tblCellMar>
      </w:tblPr>
      <w:tblGrid>
        <w:gridCol w:w="710"/>
        <w:gridCol w:w="1050"/>
        <w:gridCol w:w="991"/>
        <w:gridCol w:w="1274"/>
        <w:gridCol w:w="709"/>
        <w:gridCol w:w="1275"/>
        <w:gridCol w:w="1505"/>
        <w:gridCol w:w="1417"/>
      </w:tblGrid>
      <w:tr w14:paraId="78FBB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0" w:type="dxa"/>
            <w:left w:w="30" w:type="dxa"/>
            <w:bottom w:w="30" w:type="dxa"/>
            <w:right w:w="30" w:type="dxa"/>
          </w:tblCellMar>
        </w:tblPrEx>
        <w:trPr>
          <w:trHeight w:val="967" w:hRule="exact"/>
          <w:tblCellSpacing w:w="0" w:type="dxa"/>
        </w:trPr>
        <w:tc>
          <w:tcPr>
            <w:tcW w:w="710" w:type="dxa"/>
            <w:noWrap w:val="0"/>
            <w:vAlign w:val="center"/>
          </w:tcPr>
          <w:p w14:paraId="0B248EEC">
            <w:pPr>
              <w:spacing w:line="276" w:lineRule="auto"/>
              <w:jc w:val="center"/>
              <w:rPr>
                <w:rFonts w:hint="eastAsia" w:ascii="宋体" w:hAnsi="宋体" w:eastAsia="宋体" w:cs="宋体"/>
                <w:sz w:val="24"/>
              </w:rPr>
            </w:pPr>
            <w:r>
              <w:rPr>
                <w:rFonts w:hint="eastAsia" w:ascii="宋体" w:hAnsi="宋体" w:eastAsia="宋体" w:cs="宋体"/>
                <w:sz w:val="24"/>
              </w:rPr>
              <w:t>序号</w:t>
            </w:r>
          </w:p>
        </w:tc>
        <w:tc>
          <w:tcPr>
            <w:tcW w:w="1050" w:type="dxa"/>
            <w:noWrap w:val="0"/>
            <w:vAlign w:val="center"/>
          </w:tcPr>
          <w:p w14:paraId="73DE59A5">
            <w:pPr>
              <w:spacing w:line="276" w:lineRule="auto"/>
              <w:jc w:val="center"/>
              <w:rPr>
                <w:rFonts w:hint="eastAsia" w:ascii="宋体" w:hAnsi="宋体" w:eastAsia="宋体" w:cs="宋体"/>
                <w:sz w:val="24"/>
              </w:rPr>
            </w:pPr>
            <w:r>
              <w:rPr>
                <w:rFonts w:hint="eastAsia" w:ascii="宋体" w:hAnsi="宋体" w:eastAsia="宋体" w:cs="宋体"/>
                <w:sz w:val="24"/>
              </w:rPr>
              <w:t>货物名称</w:t>
            </w:r>
          </w:p>
        </w:tc>
        <w:tc>
          <w:tcPr>
            <w:tcW w:w="991" w:type="dxa"/>
            <w:noWrap w:val="0"/>
            <w:vAlign w:val="center"/>
          </w:tcPr>
          <w:p w14:paraId="01F06FBA">
            <w:pPr>
              <w:spacing w:line="276" w:lineRule="auto"/>
              <w:jc w:val="center"/>
              <w:rPr>
                <w:rFonts w:hint="eastAsia" w:ascii="宋体" w:hAnsi="宋体" w:eastAsia="宋体" w:cs="宋体"/>
                <w:sz w:val="24"/>
              </w:rPr>
            </w:pPr>
            <w:r>
              <w:rPr>
                <w:rFonts w:hint="eastAsia" w:ascii="宋体" w:hAnsi="宋体" w:eastAsia="宋体" w:cs="宋体"/>
                <w:sz w:val="24"/>
              </w:rPr>
              <w:t>品牌、型号</w:t>
            </w:r>
          </w:p>
        </w:tc>
        <w:tc>
          <w:tcPr>
            <w:tcW w:w="1274" w:type="dxa"/>
            <w:noWrap w:val="0"/>
            <w:vAlign w:val="center"/>
          </w:tcPr>
          <w:p w14:paraId="694424F6">
            <w:pPr>
              <w:spacing w:line="276" w:lineRule="auto"/>
              <w:jc w:val="center"/>
              <w:rPr>
                <w:rFonts w:hint="eastAsia" w:ascii="宋体" w:hAnsi="宋体" w:eastAsia="宋体" w:cs="宋体"/>
                <w:sz w:val="24"/>
              </w:rPr>
            </w:pPr>
            <w:r>
              <w:rPr>
                <w:rFonts w:hint="eastAsia" w:ascii="宋体" w:hAnsi="宋体" w:eastAsia="宋体" w:cs="宋体"/>
                <w:sz w:val="24"/>
              </w:rPr>
              <w:t>厂家、产地</w:t>
            </w:r>
          </w:p>
        </w:tc>
        <w:tc>
          <w:tcPr>
            <w:tcW w:w="709" w:type="dxa"/>
            <w:noWrap w:val="0"/>
            <w:vAlign w:val="center"/>
          </w:tcPr>
          <w:p w14:paraId="770EBD5C">
            <w:pPr>
              <w:spacing w:line="276" w:lineRule="auto"/>
              <w:jc w:val="center"/>
              <w:rPr>
                <w:rFonts w:hint="eastAsia" w:ascii="宋体" w:hAnsi="宋体" w:eastAsia="宋体" w:cs="宋体"/>
                <w:sz w:val="24"/>
              </w:rPr>
            </w:pPr>
            <w:r>
              <w:rPr>
                <w:rFonts w:hint="eastAsia" w:ascii="宋体" w:hAnsi="宋体" w:eastAsia="宋体" w:cs="宋体"/>
                <w:sz w:val="24"/>
              </w:rPr>
              <w:t>数量</w:t>
            </w:r>
          </w:p>
        </w:tc>
        <w:tc>
          <w:tcPr>
            <w:tcW w:w="1275" w:type="dxa"/>
            <w:noWrap w:val="0"/>
            <w:vAlign w:val="center"/>
          </w:tcPr>
          <w:p w14:paraId="374EB69E">
            <w:pPr>
              <w:spacing w:line="276" w:lineRule="auto"/>
              <w:jc w:val="center"/>
              <w:rPr>
                <w:rFonts w:hint="eastAsia" w:ascii="宋体" w:hAnsi="宋体" w:eastAsia="宋体" w:cs="宋体"/>
                <w:sz w:val="24"/>
              </w:rPr>
            </w:pPr>
            <w:r>
              <w:rPr>
                <w:rFonts w:hint="eastAsia" w:ascii="宋体" w:hAnsi="宋体" w:eastAsia="宋体" w:cs="宋体"/>
                <w:sz w:val="24"/>
              </w:rPr>
              <w:t>随机配件</w:t>
            </w:r>
          </w:p>
        </w:tc>
        <w:tc>
          <w:tcPr>
            <w:tcW w:w="1505" w:type="dxa"/>
            <w:noWrap w:val="0"/>
            <w:vAlign w:val="center"/>
          </w:tcPr>
          <w:p w14:paraId="213E2142">
            <w:pPr>
              <w:spacing w:line="276" w:lineRule="auto"/>
              <w:jc w:val="center"/>
              <w:rPr>
                <w:rFonts w:hint="eastAsia" w:ascii="宋体" w:hAnsi="宋体" w:eastAsia="宋体" w:cs="宋体"/>
                <w:sz w:val="24"/>
              </w:rPr>
            </w:pPr>
            <w:r>
              <w:rPr>
                <w:rFonts w:hint="eastAsia" w:ascii="宋体" w:hAnsi="宋体" w:eastAsia="宋体" w:cs="宋体"/>
                <w:sz w:val="24"/>
              </w:rPr>
              <w:t>单价（人民币，元）</w:t>
            </w:r>
          </w:p>
        </w:tc>
        <w:tc>
          <w:tcPr>
            <w:tcW w:w="1417" w:type="dxa"/>
            <w:noWrap w:val="0"/>
            <w:vAlign w:val="center"/>
          </w:tcPr>
          <w:p w14:paraId="11ECACE7">
            <w:pPr>
              <w:spacing w:line="276" w:lineRule="auto"/>
              <w:jc w:val="center"/>
              <w:rPr>
                <w:rFonts w:hint="eastAsia" w:ascii="宋体" w:hAnsi="宋体" w:eastAsia="宋体" w:cs="宋体"/>
                <w:sz w:val="24"/>
              </w:rPr>
            </w:pPr>
            <w:r>
              <w:rPr>
                <w:rFonts w:hint="eastAsia" w:ascii="宋体" w:hAnsi="宋体" w:eastAsia="宋体" w:cs="宋体"/>
                <w:sz w:val="24"/>
              </w:rPr>
              <w:t>总价（人民币，元）</w:t>
            </w:r>
          </w:p>
        </w:tc>
      </w:tr>
      <w:tr w14:paraId="68172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0" w:type="dxa"/>
            <w:left w:w="30" w:type="dxa"/>
            <w:bottom w:w="30" w:type="dxa"/>
            <w:right w:w="30" w:type="dxa"/>
          </w:tblCellMar>
        </w:tblPrEx>
        <w:trPr>
          <w:trHeight w:val="938" w:hRule="exact"/>
          <w:tblCellSpacing w:w="0" w:type="dxa"/>
        </w:trPr>
        <w:tc>
          <w:tcPr>
            <w:tcW w:w="710" w:type="dxa"/>
            <w:noWrap w:val="0"/>
            <w:vAlign w:val="center"/>
          </w:tcPr>
          <w:p w14:paraId="7F65B734">
            <w:pPr>
              <w:spacing w:line="360" w:lineRule="auto"/>
              <w:jc w:val="center"/>
              <w:rPr>
                <w:rFonts w:hint="eastAsia" w:ascii="宋体" w:hAnsi="宋体" w:eastAsia="宋体" w:cs="宋体"/>
                <w:sz w:val="24"/>
              </w:rPr>
            </w:pPr>
            <w:r>
              <w:rPr>
                <w:rFonts w:hint="eastAsia" w:ascii="宋体" w:hAnsi="宋体" w:eastAsia="宋体" w:cs="宋体"/>
                <w:sz w:val="24"/>
              </w:rPr>
              <w:t>1</w:t>
            </w:r>
          </w:p>
        </w:tc>
        <w:tc>
          <w:tcPr>
            <w:tcW w:w="1050" w:type="dxa"/>
            <w:noWrap w:val="0"/>
            <w:vAlign w:val="center"/>
          </w:tcPr>
          <w:p w14:paraId="48E4910A">
            <w:pPr>
              <w:spacing w:line="360" w:lineRule="auto"/>
              <w:jc w:val="center"/>
              <w:rPr>
                <w:rFonts w:hint="eastAsia" w:ascii="宋体" w:hAnsi="宋体" w:eastAsia="宋体" w:cs="宋体"/>
                <w:sz w:val="24"/>
              </w:rPr>
            </w:pPr>
          </w:p>
        </w:tc>
        <w:tc>
          <w:tcPr>
            <w:tcW w:w="991" w:type="dxa"/>
            <w:noWrap w:val="0"/>
            <w:vAlign w:val="center"/>
          </w:tcPr>
          <w:p w14:paraId="66BCBFCB">
            <w:pPr>
              <w:spacing w:line="360" w:lineRule="auto"/>
              <w:rPr>
                <w:rFonts w:hint="eastAsia" w:ascii="宋体" w:hAnsi="宋体" w:eastAsia="宋体" w:cs="宋体"/>
                <w:color w:val="000000"/>
                <w:sz w:val="24"/>
              </w:rPr>
            </w:pPr>
          </w:p>
        </w:tc>
        <w:tc>
          <w:tcPr>
            <w:tcW w:w="1274" w:type="dxa"/>
            <w:noWrap w:val="0"/>
            <w:vAlign w:val="center"/>
          </w:tcPr>
          <w:p w14:paraId="14AD367D">
            <w:pPr>
              <w:spacing w:line="360" w:lineRule="auto"/>
              <w:jc w:val="center"/>
              <w:rPr>
                <w:rFonts w:hint="eastAsia" w:ascii="宋体" w:hAnsi="宋体" w:eastAsia="宋体" w:cs="宋体"/>
                <w:sz w:val="24"/>
              </w:rPr>
            </w:pPr>
          </w:p>
        </w:tc>
        <w:tc>
          <w:tcPr>
            <w:tcW w:w="709" w:type="dxa"/>
            <w:noWrap w:val="0"/>
            <w:vAlign w:val="center"/>
          </w:tcPr>
          <w:p w14:paraId="2A120072">
            <w:pPr>
              <w:spacing w:line="360" w:lineRule="auto"/>
              <w:jc w:val="center"/>
              <w:rPr>
                <w:rFonts w:hint="eastAsia" w:ascii="宋体" w:hAnsi="宋体" w:eastAsia="宋体" w:cs="宋体"/>
                <w:sz w:val="24"/>
              </w:rPr>
            </w:pPr>
          </w:p>
        </w:tc>
        <w:tc>
          <w:tcPr>
            <w:tcW w:w="1275" w:type="dxa"/>
            <w:noWrap w:val="0"/>
            <w:vAlign w:val="center"/>
          </w:tcPr>
          <w:p w14:paraId="74B0F159">
            <w:pPr>
              <w:spacing w:line="360" w:lineRule="auto"/>
              <w:jc w:val="center"/>
              <w:rPr>
                <w:rFonts w:hint="eastAsia" w:ascii="宋体" w:hAnsi="宋体" w:eastAsia="宋体" w:cs="宋体"/>
                <w:color w:val="000000"/>
                <w:sz w:val="24"/>
              </w:rPr>
            </w:pPr>
          </w:p>
        </w:tc>
        <w:tc>
          <w:tcPr>
            <w:tcW w:w="1505" w:type="dxa"/>
            <w:noWrap w:val="0"/>
            <w:vAlign w:val="center"/>
          </w:tcPr>
          <w:p w14:paraId="4D9ADF83">
            <w:pPr>
              <w:spacing w:line="360" w:lineRule="auto"/>
              <w:jc w:val="center"/>
              <w:rPr>
                <w:rFonts w:hint="eastAsia" w:ascii="宋体" w:hAnsi="宋体" w:eastAsia="宋体" w:cs="宋体"/>
                <w:sz w:val="24"/>
              </w:rPr>
            </w:pPr>
          </w:p>
        </w:tc>
        <w:tc>
          <w:tcPr>
            <w:tcW w:w="1417" w:type="dxa"/>
            <w:noWrap w:val="0"/>
            <w:vAlign w:val="center"/>
          </w:tcPr>
          <w:p w14:paraId="1A00D817">
            <w:pPr>
              <w:spacing w:line="360" w:lineRule="auto"/>
              <w:jc w:val="center"/>
              <w:rPr>
                <w:rFonts w:hint="eastAsia" w:ascii="宋体" w:hAnsi="宋体" w:eastAsia="宋体" w:cs="宋体"/>
                <w:sz w:val="24"/>
              </w:rPr>
            </w:pPr>
          </w:p>
        </w:tc>
      </w:tr>
      <w:tr w14:paraId="276A3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0" w:type="dxa"/>
            <w:left w:w="30" w:type="dxa"/>
            <w:bottom w:w="30" w:type="dxa"/>
            <w:right w:w="30" w:type="dxa"/>
          </w:tblCellMar>
        </w:tblPrEx>
        <w:trPr>
          <w:trHeight w:val="810" w:hRule="exact"/>
          <w:tblCellSpacing w:w="0" w:type="dxa"/>
        </w:trPr>
        <w:tc>
          <w:tcPr>
            <w:tcW w:w="8931" w:type="dxa"/>
            <w:gridSpan w:val="8"/>
            <w:noWrap w:val="0"/>
            <w:vAlign w:val="center"/>
          </w:tcPr>
          <w:p w14:paraId="022D9F2E">
            <w:pPr>
              <w:spacing w:line="360" w:lineRule="auto"/>
              <w:rPr>
                <w:rFonts w:hint="eastAsia" w:ascii="宋体" w:hAnsi="宋体" w:eastAsia="宋体" w:cs="宋体"/>
                <w:sz w:val="24"/>
              </w:rPr>
            </w:pPr>
            <w:r>
              <w:rPr>
                <w:rFonts w:hint="eastAsia" w:ascii="宋体" w:hAnsi="宋体" w:eastAsia="宋体" w:cs="宋体"/>
                <w:sz w:val="24"/>
              </w:rPr>
              <w:t>本合同价款总额:（大写）人民币</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p>
        </w:tc>
      </w:tr>
    </w:tbl>
    <w:p w14:paraId="4850DD1C">
      <w:pPr>
        <w:spacing w:line="360" w:lineRule="auto"/>
        <w:ind w:firstLine="480" w:firstLineChars="200"/>
        <w:rPr>
          <w:rFonts w:hint="eastAsia" w:ascii="宋体" w:hAnsi="宋体" w:eastAsia="宋体" w:cs="宋体"/>
          <w:sz w:val="24"/>
        </w:rPr>
      </w:pPr>
    </w:p>
    <w:p w14:paraId="5E1C9E14">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w:t>
      </w:r>
      <w:r>
        <w:rPr>
          <w:rFonts w:hint="eastAsia" w:ascii="宋体" w:hAnsi="宋体" w:eastAsia="宋体" w:cs="宋体"/>
          <w:vanish/>
          <w:sz w:val="24"/>
        </w:rPr>
        <w:cr/>
      </w:r>
      <w:r>
        <w:rPr>
          <w:rFonts w:hint="eastAsia" w:ascii="宋体" w:hAnsi="宋体" w:eastAsia="宋体" w:cs="宋体"/>
          <w:bCs/>
          <w:sz w:val="24"/>
        </w:rPr>
        <w:t>双方一致确认，上述本合同价款总额</w:t>
      </w:r>
      <w:r>
        <w:rPr>
          <w:rFonts w:hint="eastAsia" w:ascii="宋体" w:hAnsi="宋体" w:eastAsia="宋体" w:cs="宋体"/>
          <w:sz w:val="24"/>
        </w:rPr>
        <w:t>包含了本合同约定的货物及其随机配件（以下合称 “货物”）的价款、税费、包装、运输、装卸、安装、调试、技术指导、培训、咨询、服务、保险、检测、由法定资质的检测部门出具合格证书、验收合格交付使用之前以及技术和售后服务等所有有关费用及款项，甲方无须向乙方支付除上述本合同价款总额之外的任何费用及款项。</w:t>
      </w:r>
    </w:p>
    <w:p w14:paraId="3737D18D">
      <w:pPr>
        <w:spacing w:line="360" w:lineRule="auto"/>
        <w:ind w:firstLine="480" w:firstLineChars="200"/>
        <w:rPr>
          <w:rFonts w:hint="eastAsia" w:ascii="宋体" w:hAnsi="宋体" w:eastAsia="宋体" w:cs="宋体"/>
          <w:sz w:val="24"/>
        </w:rPr>
      </w:pPr>
    </w:p>
    <w:p w14:paraId="60B7E277">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货物交付</w:t>
      </w:r>
    </w:p>
    <w:p w14:paraId="2A4F321C">
      <w:pPr>
        <w:widowControl w:val="0"/>
        <w:numPr>
          <w:ilvl w:val="0"/>
          <w:numId w:val="2"/>
        </w:numPr>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自本合同签订之日起</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日内，乙方应将货物送达甲方指定交货地点</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并将货物和该货物的说明书、保修卡、质量合格凭证等文件交付给甲方。如乙方未在前述期限内将货物交付给甲方的，则视为乙方迟延交货。乙方将本合同项下的货物送达甲方指定交货地点的运输过程中的一切费用、风险和责任均由乙方承担。</w:t>
      </w:r>
    </w:p>
    <w:p w14:paraId="69B593DD">
      <w:pPr>
        <w:widowControl w:val="0"/>
        <w:numPr>
          <w:ilvl w:val="0"/>
          <w:numId w:val="2"/>
        </w:numPr>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乙方应至少在送货前提前</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以传真或电子邮件方式向甲方提供货物的交货计划（内容包括合同号、货物的名称、数量、重量和体积、交货时间、交货地点、运输安排）和安装单（注：包括但不限于安装仪器设备所要求的水、电、气等安装环境）。甲方应在收到前述交货计划和安装单后，通过传真或电子邮件方式向乙方确认收到前述交货计划和安装单，并及时作好准备，办妥一切接货手续。</w:t>
      </w:r>
    </w:p>
    <w:p w14:paraId="3C951CCA">
      <w:pPr>
        <w:widowControl w:val="0"/>
        <w:numPr>
          <w:ilvl w:val="0"/>
          <w:numId w:val="2"/>
        </w:numPr>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货物运抵甲方指定的上述交货地点之日起</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日内，甲、乙双方的代表应共同开箱检验货物。货物经甲、乙双方的代表共同开箱检验并确认箱内货物没有短缺或短少或损伤后，才视为甲方对乙方交付的货物完成初步验收，甲方对乙方交付货物的验收并不当然免除乙方的产品质量保证责任。如箱内货物发现短缺或短少或损伤，则乙方应于前述开箱检验日起</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日内负责补足或修理或更换，与此相关的一切费用由乙方负担；且需在乙方补足或修理或更换完毕通过甲方验收后，才视为乙方已将货物交付完毕。</w:t>
      </w:r>
    </w:p>
    <w:p w14:paraId="2A9B2523">
      <w:pPr>
        <w:widowControl w:val="0"/>
        <w:numPr>
          <w:ilvl w:val="0"/>
          <w:numId w:val="2"/>
        </w:numPr>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如乙方迟延交货，则乙方须按本合同的约定向甲方支付违约金，同时甲方有权根据合同约定及法律法规规定，追究乙方的其他赔偿责任。如乙方迟延交货超过</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日，则甲方有权立即解除本合同，并且甲方无需承担因前述解除本合同给任一方造成的任何赔偿责任，均由乙方负责赔偿。</w:t>
      </w:r>
    </w:p>
    <w:p w14:paraId="5A948010">
      <w:pPr>
        <w:widowControl w:val="0"/>
        <w:spacing w:line="360" w:lineRule="auto"/>
        <w:ind w:firstLine="480" w:firstLineChars="200"/>
        <w:jc w:val="both"/>
        <w:rPr>
          <w:rFonts w:hint="eastAsia" w:ascii="宋体" w:hAnsi="宋体" w:eastAsia="宋体" w:cs="宋体"/>
          <w:kern w:val="2"/>
          <w:sz w:val="24"/>
          <w:szCs w:val="22"/>
          <w:lang w:val="en-US" w:eastAsia="zh-CN" w:bidi="ar-SA"/>
        </w:rPr>
      </w:pPr>
    </w:p>
    <w:p w14:paraId="79E6837E">
      <w:pPr>
        <w:widowControl w:val="0"/>
        <w:numPr>
          <w:ilvl w:val="0"/>
          <w:numId w:val="1"/>
        </w:numPr>
        <w:snapToGrid w:val="0"/>
        <w:spacing w:line="360" w:lineRule="auto"/>
        <w:ind w:left="0" w:firstLine="482"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b/>
          <w:kern w:val="2"/>
          <w:sz w:val="24"/>
          <w:szCs w:val="22"/>
          <w:lang w:val="en-US" w:eastAsia="zh-CN" w:bidi="ar-SA"/>
        </w:rPr>
        <w:t>货物安装、调试、施工与培训</w:t>
      </w:r>
    </w:p>
    <w:p w14:paraId="4693A61D">
      <w:pPr>
        <w:widowControl w:val="0"/>
        <w:numPr>
          <w:ilvl w:val="0"/>
          <w:numId w:val="3"/>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乙方应在完成货物交付后</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个工作日内派遣技术人员进行安装和调试，乙方及乙方人员在安装和调试过程中发生的一切费用（包括但不限于乙方人员的劳务费、差旅费、食宿费）均由乙方自行承担，与甲方无关。</w:t>
      </w:r>
    </w:p>
    <w:p w14:paraId="2F0420B6">
      <w:pPr>
        <w:widowControl w:val="0"/>
        <w:numPr>
          <w:ilvl w:val="0"/>
          <w:numId w:val="3"/>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乙方需向其人员提供安装及调试服务安全培训，乙方人员在安装和调试货物的过程中非因甲方过错发生伤亡、工伤、疾病或事故或人身伤害、财产损失，由此产生的一切费用及责任均由乙方承担，与甲方无关。</w:t>
      </w:r>
    </w:p>
    <w:p w14:paraId="14A4E62F">
      <w:pPr>
        <w:widowControl w:val="0"/>
        <w:numPr>
          <w:ilvl w:val="0"/>
          <w:numId w:val="3"/>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在安装和调试本合同项下货物的过程中发生的安全事故、全部风险由乙方承担全部责任，如甲方被第三人要求赔偿的，甲方有权向乙方追偿，并由乙方承担甲方为处理该事故所支出的一切费用和甲方的损失。</w:t>
      </w:r>
    </w:p>
    <w:p w14:paraId="00D48E87">
      <w:pPr>
        <w:widowControl w:val="0"/>
        <w:numPr>
          <w:ilvl w:val="0"/>
          <w:numId w:val="3"/>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在乙方安装和调试本合同项下货物的过程中，甲方应向乙方提供必要的配合。如安装和调试本合同项下货物需要施工的，乙方应负责完成该施工，该施工包含在本合同约定的安装和调试中，且在施工完毕后，乙方应负责清理施工现场及施工垃圾。</w:t>
      </w:r>
    </w:p>
    <w:p w14:paraId="187FD387">
      <w:pPr>
        <w:widowControl w:val="0"/>
        <w:numPr>
          <w:ilvl w:val="0"/>
          <w:numId w:val="3"/>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需就安装调试后的货物的使用、保养、维护等事宜，对甲方人员免费进行全面培训，直至甲方人员能正常、安全使用本合同项下货物为止。如乙方是本合同项下货物的生产厂家或生产厂家的授权代理商，则乙方应自己向甲方提供本合同约定的维修、保养、培训等相关服务。如乙方不是本合同项下货物的生产厂家或生产厂家的授权代理商，则乙方应安排本合同项下货物的生产厂家或生产厂家的授权代理商代理乙方向甲方提供本合同约定的维修、保养、培训等相关服务。</w:t>
      </w:r>
    </w:p>
    <w:p w14:paraId="15D4CAC0">
      <w:pPr>
        <w:widowControl w:val="0"/>
        <w:numPr>
          <w:ilvl w:val="0"/>
          <w:numId w:val="3"/>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甲方有权对本合同项下的货物制造过程派员进行监督,乙方有义务为甲方监造人员行使该权利提供方便。为避免歧义，前述派员监造是甲方的权利，是否行使该权利由甲方自己决定，前述派员监造不是甲方的义务。</w:t>
      </w:r>
    </w:p>
    <w:p w14:paraId="556ADB6C">
      <w:pPr>
        <w:widowControl w:val="0"/>
        <w:snapToGrid w:val="0"/>
        <w:spacing w:line="360" w:lineRule="auto"/>
        <w:ind w:left="480" w:firstLine="0" w:firstLineChars="0"/>
        <w:jc w:val="both"/>
        <w:rPr>
          <w:rFonts w:hint="eastAsia" w:ascii="宋体" w:hAnsi="宋体" w:eastAsia="宋体" w:cs="宋体"/>
          <w:kern w:val="2"/>
          <w:sz w:val="24"/>
          <w:szCs w:val="22"/>
          <w:lang w:val="en-US" w:eastAsia="zh-CN" w:bidi="ar-SA"/>
        </w:rPr>
      </w:pPr>
    </w:p>
    <w:p w14:paraId="78A447DA">
      <w:pPr>
        <w:widowControl w:val="0"/>
        <w:numPr>
          <w:ilvl w:val="0"/>
          <w:numId w:val="1"/>
        </w:numPr>
        <w:snapToGrid w:val="0"/>
        <w:spacing w:line="360" w:lineRule="auto"/>
        <w:ind w:left="1266" w:hanging="840" w:firstLineChars="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货物验收</w:t>
      </w:r>
    </w:p>
    <w:p w14:paraId="5E2A8F6C">
      <w:pPr>
        <w:widowControl w:val="0"/>
        <w:numPr>
          <w:ilvl w:val="1"/>
          <w:numId w:val="4"/>
        </w:numPr>
        <w:snapToGrid w:val="0"/>
        <w:spacing w:line="360" w:lineRule="auto"/>
        <w:ind w:left="-142"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在乙方将货物安装调试完毕并经</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个工作日试运行完成后，甲方组织对安装调试完毕的货物进行第一次验收，验收情况记录在《采购物品验收报告单》中。</w:t>
      </w:r>
    </w:p>
    <w:p w14:paraId="4BECC7B9">
      <w:pPr>
        <w:widowControl w:val="0"/>
        <w:numPr>
          <w:ilvl w:val="1"/>
          <w:numId w:val="4"/>
        </w:numPr>
        <w:snapToGrid w:val="0"/>
        <w:spacing w:line="360" w:lineRule="auto"/>
        <w:ind w:left="-142"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第一次验收合格的，甲方将签署无保留意见的《采购物品验收报告单》。如第一次验收不合格，则验收未通过，乙方应当根据甲方的要求在限定的时间内采取补救措施，第二次验收时间由甲方确定。</w:t>
      </w:r>
    </w:p>
    <w:p w14:paraId="368538F1">
      <w:pPr>
        <w:widowControl w:val="0"/>
        <w:numPr>
          <w:ilvl w:val="1"/>
          <w:numId w:val="4"/>
        </w:numPr>
        <w:snapToGrid w:val="0"/>
        <w:spacing w:line="360" w:lineRule="auto"/>
        <w:ind w:left="-142"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第一次验收不合格的，乙方须按本合同的约定向甲方支付违约金，并且甲方可根据合同约定及法律法规规定，追究乙方其他赔偿责任。如第二次仍验收不合格的，甲方有权立即解除合同，并按合同约定要求乙方支付违约金赔偿因此给甲方造成的全部损失及其他法律责任，甲方无需因解除合同承担任何法律责任。</w:t>
      </w:r>
    </w:p>
    <w:p w14:paraId="654F1C84">
      <w:pPr>
        <w:snapToGrid w:val="0"/>
        <w:spacing w:line="360" w:lineRule="auto"/>
        <w:rPr>
          <w:rFonts w:hint="eastAsia" w:ascii="宋体" w:hAnsi="宋体" w:eastAsia="宋体" w:cs="宋体"/>
          <w:b/>
          <w:sz w:val="24"/>
        </w:rPr>
      </w:pPr>
    </w:p>
    <w:p w14:paraId="46DA7B95">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货物质量保证</w:t>
      </w:r>
    </w:p>
    <w:p w14:paraId="14F72D31">
      <w:pPr>
        <w:widowControl w:val="0"/>
        <w:numPr>
          <w:ilvl w:val="0"/>
          <w:numId w:val="5"/>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乙方保证货物为原厂全新、完好无损且未经使用，货物符合国家、地方标准、行业标准、中国国家技术质量规范及本合同约定的质量、规格、性能和技术规范等要求，并符合我国环境保护的管理要求。</w:t>
      </w:r>
    </w:p>
    <w:p w14:paraId="5C633BF3">
      <w:pPr>
        <w:widowControl w:val="0"/>
        <w:numPr>
          <w:ilvl w:val="0"/>
          <w:numId w:val="5"/>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乙方保证货物在安装调试后能够达到国家、地方标准、行业标准、中国国家技术质量规范及本合同约定的质量、规格、性能和技术规范等性能指标，货物在其使用寿命期内具有符合质量要求和产品说明书的性能。</w:t>
      </w:r>
    </w:p>
    <w:p w14:paraId="07432935">
      <w:pPr>
        <w:widowControl w:val="0"/>
        <w:numPr>
          <w:ilvl w:val="0"/>
          <w:numId w:val="5"/>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乙方承诺对于合同货物的质量，执行上述标准中最严格的标准。</w:t>
      </w:r>
    </w:p>
    <w:p w14:paraId="668347FC">
      <w:pPr>
        <w:widowControl w:val="0"/>
        <w:numPr>
          <w:ilvl w:val="0"/>
          <w:numId w:val="5"/>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乙方对货物及其随机配件提供</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年的质量保证期。在质量保证期内，经甲方按检验标准检验或委托有资质的相关质检机构检验发现，合同货物的数量、质量、规格不符法定和约定要求或者合同项货物存在缺陷的，该缺陷包括潜在的缺陷、瑕疵或使用不符合要求的材料等；甲方应尽快以书面形式通知乙方。乙方应在收到甲方前述通知之日起</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个工作日内免费上门维修或更换不符或有缺陷的货物或部件。乙方还应赔偿甲方因前述不符或缺陷而遭受的损失。</w:t>
      </w:r>
    </w:p>
    <w:p w14:paraId="6C196F08">
      <w:pPr>
        <w:widowControl w:val="0"/>
        <w:numPr>
          <w:ilvl w:val="0"/>
          <w:numId w:val="5"/>
        </w:numPr>
        <w:snapToGrid w:val="0"/>
        <w:spacing w:line="360" w:lineRule="auto"/>
        <w:ind w:left="0" w:firstLine="48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在质量保证期内，如合同货物出现质量问题、数量不足、故障、缺陷的,由乙方负责按照甲方的要求在限定的时间内包修、包换或者包退，并承担修理、调换或退货所发生运费、维修人员交通差旅费等费用以及甲方因此造成的全部损失。</w:t>
      </w:r>
    </w:p>
    <w:p w14:paraId="62127380">
      <w:pPr>
        <w:widowControl w:val="0"/>
        <w:snapToGrid w:val="0"/>
        <w:spacing w:line="360" w:lineRule="auto"/>
        <w:ind w:firstLine="480" w:firstLineChars="200"/>
        <w:jc w:val="both"/>
        <w:rPr>
          <w:rFonts w:hint="eastAsia" w:ascii="宋体" w:hAnsi="宋体" w:eastAsia="宋体" w:cs="宋体"/>
          <w:kern w:val="2"/>
          <w:sz w:val="24"/>
          <w:szCs w:val="22"/>
          <w:lang w:val="en-US" w:eastAsia="zh-CN" w:bidi="ar-SA"/>
        </w:rPr>
      </w:pPr>
    </w:p>
    <w:p w14:paraId="484818AA">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 xml:space="preserve"> 货物权利担保</w:t>
      </w:r>
    </w:p>
    <w:p w14:paraId="3A631E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乙方保证，甲方不会因使用全部物料中的任何物品而侵犯任何专利权、商标权、著作权、工业设计权等知识产权或任何第三方的权利或权益。如本合同项下的物料安装或配置了软件的，相关软件均为合法正版、不侵犯任何第三方权利的软件，如甲方因此遭受损失或被第三方起诉的，有权要求乙方承担甲方支出的一切费用（包括但不限于律师费、诉讼费/仲裁费、保全费、担保费、交通费、住宿费、赔偿金等额外支出的一切费用）及赔偿损失。</w:t>
      </w:r>
    </w:p>
    <w:p w14:paraId="19A7311D">
      <w:pPr>
        <w:snapToGrid w:val="0"/>
        <w:spacing w:line="360" w:lineRule="auto"/>
        <w:rPr>
          <w:rFonts w:hint="eastAsia" w:ascii="宋体" w:hAnsi="宋体" w:eastAsia="宋体" w:cs="宋体"/>
          <w:b/>
          <w:sz w:val="24"/>
        </w:rPr>
      </w:pPr>
    </w:p>
    <w:p w14:paraId="54BF1482">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 xml:space="preserve"> 货物保修</w:t>
      </w:r>
    </w:p>
    <w:p w14:paraId="304B83C6">
      <w:pPr>
        <w:widowControl w:val="0"/>
        <w:numPr>
          <w:ilvl w:val="1"/>
          <w:numId w:val="6"/>
        </w:numPr>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乙方对货物及其随机配件提供</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年的保修期，该保修期自货物验收合格之日起计算。乙方应在前述保修期内为货物及其随机配件提供免费维护和修理。在前述保修期内，如本合同项下的货物出现损坏和故障，则乙方应在接到甲方通知后</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小时内赶到现场免费予以维修或调换并无条件免费提供所需的零部件。</w:t>
      </w:r>
    </w:p>
    <w:p w14:paraId="0E9ABF67">
      <w:pPr>
        <w:widowControl w:val="0"/>
        <w:numPr>
          <w:ilvl w:val="1"/>
          <w:numId w:val="6"/>
        </w:numPr>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在前述保修期届满后，乙方应为货物及其随机配件提供终身维修。前述保修期届满后，合同货物需要更换零部件的，乙方只收取零部件的成本费，不收人工服务费用。维修项目或维修部件或调换部分的保修期从维修完成或调换完成之日起顺延</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年。</w:t>
      </w:r>
    </w:p>
    <w:p w14:paraId="7282F1FD">
      <w:pPr>
        <w:widowControl w:val="0"/>
        <w:numPr>
          <w:ilvl w:val="1"/>
          <w:numId w:val="6"/>
        </w:numPr>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如乙方未按上述约定，在收到甲方的通知后</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个工作日内维修或更换不符或有缺陷的货物或部件；则甲方有权采取必要的补救措施并追究乙方的违约责任，由此导致的责任和费用由乙方承担。</w:t>
      </w:r>
    </w:p>
    <w:p w14:paraId="678582D9">
      <w:pPr>
        <w:widowControl w:val="0"/>
        <w:numPr>
          <w:ilvl w:val="1"/>
          <w:numId w:val="6"/>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乙方同意给予甲方一年内免费搬迁已安装调试完毕的合同货物一次、免费调试已安装调试完毕的本合同项下货物</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次、免费培训服务</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次。</w:t>
      </w:r>
    </w:p>
    <w:p w14:paraId="44EABACD">
      <w:pPr>
        <w:snapToGrid w:val="0"/>
        <w:spacing w:line="360" w:lineRule="auto"/>
        <w:ind w:left="419" w:leftChars="28" w:hanging="360" w:hangingChars="150"/>
        <w:rPr>
          <w:rFonts w:hint="eastAsia" w:ascii="宋体" w:hAnsi="宋体" w:eastAsia="宋体" w:cs="宋体"/>
          <w:sz w:val="24"/>
        </w:rPr>
      </w:pPr>
    </w:p>
    <w:p w14:paraId="6AB5DBAD">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 xml:space="preserve"> 货款支付</w:t>
      </w:r>
    </w:p>
    <w:p w14:paraId="3035EA6F">
      <w:pPr>
        <w:widowControl w:val="0"/>
        <w:pBdr>
          <w:top w:val="single" w:color="auto" w:sz="6" w:space="1"/>
        </w:pBdr>
        <w:jc w:val="center"/>
        <w:rPr>
          <w:rFonts w:hint="eastAsia" w:ascii="宋体" w:hAnsi="宋体" w:eastAsia="宋体" w:cs="宋体"/>
          <w:vanish/>
          <w:kern w:val="2"/>
          <w:sz w:val="24"/>
          <w:szCs w:val="24"/>
          <w:lang w:val="en-US" w:eastAsia="zh-CN" w:bidi="ar-SA"/>
        </w:rPr>
      </w:pPr>
      <w:r>
        <w:rPr>
          <w:rFonts w:hint="eastAsia" w:ascii="宋体" w:hAnsi="宋体" w:eastAsia="宋体" w:cs="宋体"/>
          <w:vanish/>
          <w:kern w:val="2"/>
          <w:sz w:val="24"/>
          <w:szCs w:val="24"/>
          <w:lang w:val="en-US" w:eastAsia="zh-CN" w:bidi="ar-SA"/>
        </w:rPr>
        <w:t>窗体底端</w:t>
      </w:r>
    </w:p>
    <w:p w14:paraId="730ADEC8">
      <w:pPr>
        <w:widowControl w:val="0"/>
        <w:numPr>
          <w:ilvl w:val="0"/>
          <w:numId w:val="7"/>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shd w:val="clear" w:color="auto" w:fill="FFFFFF"/>
          <w:lang w:val="en-US" w:eastAsia="zh-CN" w:bidi="ar-SA"/>
        </w:rPr>
        <w:t>双方确认按照以下第（）方式进行付款：</w:t>
      </w:r>
    </w:p>
    <w:p w14:paraId="06484EB2">
      <w:pPr>
        <w:widowControl w:val="0"/>
        <w:tabs>
          <w:tab w:val="left" w:pos="1276"/>
        </w:tabs>
        <w:snapToGrid w:val="0"/>
        <w:spacing w:line="360" w:lineRule="auto"/>
        <w:ind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shd w:val="clear" w:color="auto" w:fill="FFFFFF"/>
          <w:lang w:val="en-US" w:eastAsia="zh-CN" w:bidi="ar-SA"/>
        </w:rPr>
        <w:t>（1）</w:t>
      </w:r>
      <w:r>
        <w:rPr>
          <w:rFonts w:hint="eastAsia" w:ascii="宋体" w:hAnsi="宋体" w:eastAsia="宋体" w:cs="宋体"/>
          <w:kern w:val="2"/>
          <w:sz w:val="24"/>
          <w:szCs w:val="22"/>
          <w:lang w:val="en-US" w:eastAsia="zh-CN" w:bidi="ar-SA"/>
        </w:rPr>
        <w:t>甲方应在货物交付、安装调试、试运行及验收合格之日起</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个工作日内向乙方支付本合同价款总额的</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%，即人民币</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元；剩余本合同价款总额的</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%的尾款作为质保金，即人民币</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元，在货物验收合格之日起满</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个月后的</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个工作日内，如乙方没有违反本合同约定的售后服务条款、质量保证条款、维修条款及保修条款的，甲方应将前述质保金尾款无息支付给乙方。</w:t>
      </w:r>
    </w:p>
    <w:p w14:paraId="69FE779E">
      <w:pPr>
        <w:widowControl w:val="0"/>
        <w:pBdr>
          <w:bottom w:val="single" w:color="auto" w:sz="6" w:space="1"/>
        </w:pBdr>
        <w:jc w:val="center"/>
        <w:rPr>
          <w:rFonts w:hint="eastAsia" w:ascii="宋体" w:hAnsi="宋体" w:eastAsia="宋体" w:cs="宋体"/>
          <w:vanish/>
          <w:kern w:val="2"/>
          <w:sz w:val="24"/>
          <w:szCs w:val="24"/>
          <w:lang w:val="en-US" w:eastAsia="zh-CN" w:bidi="ar-SA"/>
        </w:rPr>
      </w:pPr>
      <w:r>
        <w:rPr>
          <w:rFonts w:hint="eastAsia" w:ascii="宋体" w:hAnsi="宋体" w:eastAsia="宋体" w:cs="宋体"/>
          <w:vanish/>
          <w:kern w:val="2"/>
          <w:sz w:val="24"/>
          <w:szCs w:val="24"/>
          <w:lang w:val="en-US" w:eastAsia="zh-CN" w:bidi="ar-SA"/>
        </w:rPr>
        <w:t>窗体顶端</w:t>
      </w:r>
    </w:p>
    <w:p w14:paraId="6C5C7417">
      <w:pPr>
        <w:widowControl w:val="0"/>
        <w:spacing w:before="100" w:beforeAutospacing="1" w:after="100" w:afterAutospacing="1" w:line="360" w:lineRule="auto"/>
        <w:ind w:firstLine="480"/>
        <w:jc w:val="left"/>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shd w:val="clear" w:color="auto" w:fill="FFFFFF"/>
          <w:lang w:val="en-US" w:eastAsia="zh-CN" w:bidi="ar-SA"/>
        </w:rPr>
        <w:t>（2）合同生效并甲方收到乙方开具相应发票之日起</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lang w:val="en-US" w:eastAsia="zh-CN" w:bidi="ar-SA"/>
        </w:rPr>
        <w:t>个工作日内</w:t>
      </w:r>
      <w:r>
        <w:rPr>
          <w:rFonts w:hint="eastAsia" w:ascii="Times New Roman" w:hAnsi="Times New Roman" w:eastAsia="宋体" w:cs="Times New Roman"/>
          <w:kern w:val="0"/>
          <w:sz w:val="24"/>
          <w:szCs w:val="24"/>
          <w:shd w:val="clear" w:color="auto" w:fill="FFFFFF"/>
          <w:lang w:val="en-US" w:eastAsia="zh-CN" w:bidi="ar-SA"/>
        </w:rPr>
        <w:t>支付合同总额的</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%作为进度款，即人民币</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元。甲方应在货物交付、安装调试、试运行及验收合格之日起</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个工作日内向乙方支付本合同价款总额的</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%，即人民币</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元；剩余本合同价款总额的</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%的尾款作为质保金，即人民币</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元，在货物验收合格之日起满</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个月后的</w:t>
      </w:r>
      <w:r>
        <w:rPr>
          <w:rFonts w:hint="eastAsia" w:ascii="Times New Roman" w:hAnsi="Times New Roman" w:eastAsia="宋体" w:cs="Times New Roman"/>
          <w:kern w:val="0"/>
          <w:sz w:val="24"/>
          <w:szCs w:val="24"/>
          <w:u w:val="single"/>
          <w:lang w:val="en-US" w:eastAsia="zh-CN" w:bidi="ar-SA"/>
        </w:rPr>
        <w:t xml:space="preserve">    </w:t>
      </w:r>
      <w:r>
        <w:rPr>
          <w:rFonts w:hint="eastAsia" w:ascii="Times New Roman" w:hAnsi="Times New Roman" w:eastAsia="宋体" w:cs="Times New Roman"/>
          <w:kern w:val="0"/>
          <w:sz w:val="24"/>
          <w:szCs w:val="24"/>
          <w:shd w:val="clear" w:color="auto" w:fill="FFFFFF"/>
          <w:lang w:val="en-US" w:eastAsia="zh-CN" w:bidi="ar-SA"/>
        </w:rPr>
        <w:t>个工作日内，如乙方没有违反本合同约定的售后服务、质量保证条、维修条、保修等条款的，甲方应将前述质保金尾款无息支付给乙方。</w:t>
      </w:r>
    </w:p>
    <w:p w14:paraId="3B8E0B41">
      <w:pPr>
        <w:widowControl w:val="0"/>
        <w:numPr>
          <w:ilvl w:val="0"/>
          <w:numId w:val="7"/>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乙方应在甲方付款前</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个工作日之前，向甲方开具符合中国国家财税规定及深圳市财税规定的与甲方将要付款的金额相等的发票给甲方。乙方迟延提供前述发票的，甲方有权相应顺延支付货款的时间且无需承担任何违约责任。</w:t>
      </w:r>
    </w:p>
    <w:p w14:paraId="0B531ED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由于乙方原因导致甲方应支付货款的时间已超过当年财政资金支付的最终期限，从而造成甲方无法支付货款的，则甲方无法支付货款的后果由乙方承担,甲方无需为此承担任何违约责任。前述乙方原因包括但不限于乙方原因导致的迟延交货、安装调试没有按时完毕、试运行没有按时完毕、甲方验收不合格、未及时开具发票等。</w:t>
      </w:r>
    </w:p>
    <w:p w14:paraId="00B35763">
      <w:pPr>
        <w:widowControl w:val="0"/>
        <w:numPr>
          <w:ilvl w:val="0"/>
          <w:numId w:val="7"/>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color w:val="000000"/>
          <w:kern w:val="2"/>
          <w:sz w:val="24"/>
          <w:szCs w:val="22"/>
          <w:shd w:val="clear" w:color="auto" w:fill="FFFFFF"/>
          <w:lang w:val="en-US" w:eastAsia="zh-CN" w:bidi="ar-SA"/>
        </w:rPr>
        <w:t>乙方指定下列账户收取</w:t>
      </w:r>
      <w:r>
        <w:rPr>
          <w:rFonts w:hint="eastAsia" w:ascii="宋体" w:hAnsi="宋体" w:eastAsia="宋体" w:cs="宋体"/>
          <w:kern w:val="2"/>
          <w:sz w:val="24"/>
          <w:szCs w:val="22"/>
          <w:lang w:val="en-US" w:eastAsia="zh-CN" w:bidi="ar-SA"/>
        </w:rPr>
        <w:t>本合同价款</w:t>
      </w:r>
      <w:r>
        <w:rPr>
          <w:rFonts w:hint="eastAsia" w:ascii="宋体" w:hAnsi="宋体" w:eastAsia="宋体" w:cs="宋体"/>
          <w:color w:val="000000"/>
          <w:kern w:val="2"/>
          <w:sz w:val="24"/>
          <w:szCs w:val="22"/>
          <w:shd w:val="clear" w:color="auto" w:fill="FFFFFF"/>
          <w:lang w:val="en-US" w:eastAsia="zh-CN" w:bidi="ar-SA"/>
        </w:rPr>
        <w:t>，乙方不得撤销、变更下列收款账户。</w:t>
      </w:r>
    </w:p>
    <w:p w14:paraId="22B9C464">
      <w:pPr>
        <w:widowControl w:val="0"/>
        <w:tabs>
          <w:tab w:val="left" w:pos="1276"/>
        </w:tabs>
        <w:snapToGrid w:val="0"/>
        <w:spacing w:line="360" w:lineRule="auto"/>
        <w:ind w:left="840" w:firstLine="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银行帐号：</w:t>
      </w:r>
    </w:p>
    <w:p w14:paraId="6CD71535">
      <w:pPr>
        <w:widowControl w:val="0"/>
        <w:tabs>
          <w:tab w:val="left" w:pos="1276"/>
        </w:tabs>
        <w:snapToGrid w:val="0"/>
        <w:spacing w:line="360" w:lineRule="auto"/>
        <w:ind w:left="840" w:firstLine="0" w:firstLineChars="0"/>
        <w:jc w:val="both"/>
        <w:rPr>
          <w:rFonts w:hint="eastAsia" w:ascii="宋体" w:hAnsi="宋体" w:eastAsia="宋体" w:cs="宋体"/>
          <w:color w:val="000000"/>
          <w:kern w:val="2"/>
          <w:sz w:val="24"/>
          <w:szCs w:val="22"/>
          <w:shd w:val="clear" w:color="auto" w:fill="FFFFFF"/>
          <w:lang w:val="en-US" w:eastAsia="zh-CN" w:bidi="ar-SA"/>
        </w:rPr>
      </w:pPr>
      <w:r>
        <w:rPr>
          <w:rFonts w:hint="eastAsia" w:ascii="宋体" w:hAnsi="宋体" w:eastAsia="宋体" w:cs="宋体"/>
          <w:color w:val="000000"/>
          <w:kern w:val="2"/>
          <w:sz w:val="24"/>
          <w:szCs w:val="22"/>
          <w:shd w:val="clear" w:color="auto" w:fill="FFFFFF"/>
          <w:lang w:val="en-US" w:eastAsia="zh-CN" w:bidi="ar-SA"/>
        </w:rPr>
        <w:t>户  名：</w:t>
      </w:r>
    </w:p>
    <w:p w14:paraId="528E328E">
      <w:pPr>
        <w:widowControl w:val="0"/>
        <w:tabs>
          <w:tab w:val="left" w:pos="1276"/>
        </w:tabs>
        <w:snapToGrid w:val="0"/>
        <w:spacing w:line="360" w:lineRule="auto"/>
        <w:ind w:left="840" w:firstLine="0" w:firstLineChars="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开户行：</w:t>
      </w:r>
    </w:p>
    <w:p w14:paraId="50BE809F">
      <w:pPr>
        <w:widowControl w:val="0"/>
        <w:tabs>
          <w:tab w:val="left" w:pos="1276"/>
        </w:tabs>
        <w:snapToGrid w:val="0"/>
        <w:spacing w:line="360" w:lineRule="auto"/>
        <w:ind w:left="840" w:firstLine="0" w:firstLineChars="0"/>
        <w:jc w:val="both"/>
        <w:rPr>
          <w:rFonts w:hint="eastAsia" w:ascii="宋体" w:hAnsi="宋体" w:eastAsia="宋体" w:cs="宋体"/>
          <w:kern w:val="2"/>
          <w:sz w:val="24"/>
          <w:szCs w:val="22"/>
          <w:lang w:val="en-US" w:eastAsia="zh-CN" w:bidi="ar-SA"/>
        </w:rPr>
      </w:pPr>
    </w:p>
    <w:p w14:paraId="6B0EF45E">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违约责任及合同解除</w:t>
      </w:r>
    </w:p>
    <w:p w14:paraId="7C3C705A">
      <w:pPr>
        <w:widowControl w:val="0"/>
        <w:numPr>
          <w:ilvl w:val="0"/>
          <w:numId w:val="8"/>
        </w:numPr>
        <w:tabs>
          <w:tab w:val="left" w:pos="1276"/>
        </w:tabs>
        <w:snapToGrid w:val="0"/>
        <w:spacing w:line="360" w:lineRule="auto"/>
        <w:ind w:left="0" w:firstLine="480" w:firstLineChars="200"/>
        <w:jc w:val="both"/>
        <w:rPr>
          <w:rFonts w:hint="eastAsia" w:ascii="宋体" w:hAnsi="宋体" w:eastAsia="宋体" w:cs="宋体"/>
          <w:color w:val="000000"/>
          <w:kern w:val="2"/>
          <w:sz w:val="24"/>
          <w:szCs w:val="22"/>
          <w:shd w:val="clear" w:color="auto" w:fill="FFFFFF"/>
          <w:lang w:val="en-US" w:eastAsia="zh-CN" w:bidi="ar-SA"/>
        </w:rPr>
      </w:pPr>
      <w:r>
        <w:rPr>
          <w:rFonts w:hint="eastAsia" w:ascii="宋体" w:hAnsi="宋体" w:eastAsia="宋体" w:cs="宋体"/>
          <w:kern w:val="2"/>
          <w:sz w:val="24"/>
          <w:szCs w:val="22"/>
          <w:lang w:val="en-US" w:eastAsia="zh-CN" w:bidi="ar-SA"/>
        </w:rPr>
        <w:t>在乙方将本合同项下的货物交付甲方后</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日内，如乙方有违约行为，则甲方有权要求退货，乙方应无条件接受甲方退货。如甲方按照前述约定要求退货且甲方已支付部分或全部本合同价款的，乙方应将其已收到的本合同价款退还给甲方。乙方应承担因甲方退货发生的一切损失和费用，包括利息、银行手续费、运费、保险费、检验费、仓储费、装卸费、拆除费以及甲方为保护退回货物所支出的其它必要费用。本条约定可与其他违约责任同时适用。</w:t>
      </w:r>
    </w:p>
    <w:p w14:paraId="4A665CAD">
      <w:pPr>
        <w:widowControl w:val="0"/>
        <w:numPr>
          <w:ilvl w:val="0"/>
          <w:numId w:val="8"/>
        </w:numPr>
        <w:tabs>
          <w:tab w:val="left" w:pos="1276"/>
        </w:tabs>
        <w:snapToGrid w:val="0"/>
        <w:spacing w:line="360" w:lineRule="auto"/>
        <w:ind w:left="0" w:firstLine="480" w:firstLineChars="200"/>
        <w:jc w:val="both"/>
        <w:rPr>
          <w:rFonts w:hint="eastAsia" w:ascii="宋体" w:hAnsi="宋体" w:eastAsia="宋体" w:cs="宋体"/>
          <w:color w:val="000000"/>
          <w:kern w:val="2"/>
          <w:sz w:val="24"/>
          <w:szCs w:val="22"/>
          <w:shd w:val="clear" w:color="auto" w:fill="FFFFFF"/>
          <w:lang w:val="en-US" w:eastAsia="zh-CN" w:bidi="ar-SA"/>
        </w:rPr>
      </w:pPr>
      <w:r>
        <w:rPr>
          <w:rFonts w:hint="eastAsia" w:ascii="宋体" w:hAnsi="宋体" w:eastAsia="宋体" w:cs="宋体"/>
          <w:kern w:val="2"/>
          <w:sz w:val="24"/>
          <w:szCs w:val="22"/>
          <w:lang w:val="en-US" w:eastAsia="zh-CN" w:bidi="ar-SA"/>
        </w:rPr>
        <w:t>如乙方出现迟延交货、验收不合格、乙方迟延履行本合同约定义务的，乙方应向甲方支付违约金，甲方可按如下方式计算违约金：（1）乙方按合同总金额30%支付违约金；（2）根据迟延交货的日数、验收不合格状态持续的日数或乙方迟延履行本合同约定义务的日数，按照每一日乙方应向甲方支付合同总金额千分之三计算。甲方有权以违约金额更高者要求乙方赔偿。如上述违约金仍无法弥补甲方损失的，甲方有权要求乙方补足，并要求乙方承担由此造成的一切责任和损失（包括但不限于直接和间接损失、律师费、诉讼费/仲裁费、保全费、担保费、交通费、住宿费、赔偿金等）。本条约定可与其他违约责任同时适用。</w:t>
      </w:r>
    </w:p>
    <w:p w14:paraId="05D11E81">
      <w:pPr>
        <w:widowControl w:val="0"/>
        <w:numPr>
          <w:ilvl w:val="0"/>
          <w:numId w:val="8"/>
        </w:numPr>
        <w:tabs>
          <w:tab w:val="left" w:pos="1276"/>
        </w:tabs>
        <w:snapToGrid w:val="0"/>
        <w:spacing w:line="360" w:lineRule="auto"/>
        <w:ind w:left="0" w:firstLine="480" w:firstLineChars="200"/>
        <w:jc w:val="both"/>
        <w:rPr>
          <w:rFonts w:hint="eastAsia" w:ascii="宋体" w:hAnsi="宋体" w:eastAsia="宋体" w:cs="宋体"/>
          <w:color w:val="000000"/>
          <w:kern w:val="2"/>
          <w:sz w:val="24"/>
          <w:szCs w:val="22"/>
          <w:shd w:val="clear" w:color="auto" w:fill="FFFFFF"/>
          <w:lang w:val="en-US" w:eastAsia="zh-CN" w:bidi="ar-SA"/>
        </w:rPr>
      </w:pPr>
      <w:r>
        <w:rPr>
          <w:rFonts w:hint="eastAsia" w:ascii="宋体" w:hAnsi="宋体" w:eastAsia="宋体" w:cs="宋体"/>
          <w:kern w:val="2"/>
          <w:sz w:val="24"/>
          <w:szCs w:val="22"/>
          <w:lang w:val="en-US" w:eastAsia="zh-CN" w:bidi="ar-SA"/>
        </w:rPr>
        <w:t>如乙方违反合同约定超过十五日的，甲方有权立即解除本合同，且无需承担因解除合同造成的任何法律责任。本条约定可与其他违约责任同时适用。</w:t>
      </w:r>
    </w:p>
    <w:p w14:paraId="7A75BB25">
      <w:pPr>
        <w:widowControl w:val="0"/>
        <w:numPr>
          <w:ilvl w:val="0"/>
          <w:numId w:val="8"/>
        </w:numPr>
        <w:tabs>
          <w:tab w:val="left" w:pos="1276"/>
        </w:tabs>
        <w:snapToGrid w:val="0"/>
        <w:spacing w:line="360" w:lineRule="auto"/>
        <w:ind w:left="0" w:firstLine="480" w:firstLineChars="200"/>
        <w:jc w:val="both"/>
        <w:rPr>
          <w:rFonts w:hint="eastAsia" w:ascii="宋体" w:hAnsi="宋体" w:eastAsia="宋体" w:cs="宋体"/>
          <w:color w:val="000000"/>
          <w:kern w:val="2"/>
          <w:sz w:val="24"/>
          <w:szCs w:val="22"/>
          <w:shd w:val="clear" w:color="auto" w:fill="FFFFFF"/>
          <w:lang w:val="en-US" w:eastAsia="zh-CN" w:bidi="ar-SA"/>
        </w:rPr>
      </w:pPr>
      <w:r>
        <w:rPr>
          <w:rFonts w:hint="eastAsia" w:ascii="宋体" w:hAnsi="宋体" w:eastAsia="宋体" w:cs="宋体"/>
          <w:kern w:val="2"/>
          <w:sz w:val="24"/>
          <w:szCs w:val="22"/>
          <w:lang w:val="en-US" w:eastAsia="zh-CN" w:bidi="ar-SA"/>
        </w:rPr>
        <w:t>如合同一方违反本合同其他约定的，违约方应赔偿守约方因违约方的违约行为而遭受的一切损失。本条约定可与其他违约责任同时适用。</w:t>
      </w:r>
    </w:p>
    <w:p w14:paraId="52419287">
      <w:pPr>
        <w:snapToGrid w:val="0"/>
        <w:spacing w:line="360" w:lineRule="auto"/>
        <w:rPr>
          <w:rFonts w:hint="eastAsia" w:ascii="宋体" w:hAnsi="宋体" w:eastAsia="宋体" w:cs="宋体"/>
          <w:sz w:val="24"/>
        </w:rPr>
      </w:pPr>
    </w:p>
    <w:p w14:paraId="626CC215">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不可抗力</w:t>
      </w:r>
    </w:p>
    <w:p w14:paraId="198269CC">
      <w:pPr>
        <w:widowControl w:val="0"/>
        <w:numPr>
          <w:ilvl w:val="0"/>
          <w:numId w:val="9"/>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如果甲、乙双方中任何一方遭遇法律规定的不可抗力致使本合同履行受阻，则履行本合同的期限应予延长，延长的期限应相当于不可抗力所影响的时间。若不可抗力情形持续超过</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日，未受不可抗力一方有权解除本合同并无需承担任何法律责任。</w:t>
      </w:r>
    </w:p>
    <w:p w14:paraId="5CB930B2">
      <w:pPr>
        <w:widowControl w:val="0"/>
        <w:numPr>
          <w:ilvl w:val="0"/>
          <w:numId w:val="9"/>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受不可抗力影响的一方应在不可抗力事件发生后尽快以书面形式通知另一方，并在不可抗力事件发生之日起7个工作日内，将有关部门出具的不可抗力的证明文件送达另一方，并由双方协商后续合同处理事宜。如不可抗力事件超出</w:t>
      </w:r>
      <w:r>
        <w:rPr>
          <w:rFonts w:hint="eastAsia" w:ascii="宋体" w:hAnsi="宋体" w:eastAsia="宋体" w:cs="宋体"/>
          <w:kern w:val="2"/>
          <w:sz w:val="24"/>
          <w:szCs w:val="22"/>
          <w:u w:val="single"/>
          <w:lang w:val="en-US" w:eastAsia="zh-CN" w:bidi="ar-SA"/>
        </w:rPr>
        <w:t xml:space="preserve">    </w:t>
      </w:r>
      <w:r>
        <w:rPr>
          <w:rFonts w:hint="eastAsia" w:ascii="宋体" w:hAnsi="宋体" w:eastAsia="宋体" w:cs="宋体"/>
          <w:kern w:val="2"/>
          <w:sz w:val="24"/>
          <w:szCs w:val="22"/>
          <w:lang w:val="en-US" w:eastAsia="zh-CN" w:bidi="ar-SA"/>
        </w:rPr>
        <w:t>天的，甲方有权解除合同，且无需承担任何法律责任。受不可抗力一方未及时告知另一方或未采取补救措施导致另一方遭受损失的，受不可抗力一方应当承担赔偿责任。本条约定可与上述10.1同时适用。</w:t>
      </w:r>
    </w:p>
    <w:p w14:paraId="66A4DE9A">
      <w:pPr>
        <w:snapToGrid w:val="0"/>
        <w:spacing w:line="360" w:lineRule="auto"/>
        <w:rPr>
          <w:rFonts w:hint="eastAsia" w:ascii="宋体" w:hAnsi="宋体" w:eastAsia="宋体" w:cs="宋体"/>
          <w:sz w:val="24"/>
        </w:rPr>
      </w:pPr>
    </w:p>
    <w:p w14:paraId="2083B1C8">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保密条款</w:t>
      </w:r>
    </w:p>
    <w:p w14:paraId="0BBB44A4">
      <w:pPr>
        <w:widowControl w:val="0"/>
        <w:numPr>
          <w:ilvl w:val="0"/>
          <w:numId w:val="10"/>
        </w:numPr>
        <w:tabs>
          <w:tab w:val="left" w:pos="1276"/>
        </w:tabs>
        <w:snapToGrid w:val="0"/>
        <w:spacing w:line="360" w:lineRule="auto"/>
        <w:ind w:left="0" w:firstLine="480"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kern w:val="2"/>
          <w:sz w:val="24"/>
          <w:szCs w:val="22"/>
          <w:lang w:val="en-US" w:eastAsia="zh-CN" w:bidi="ar-SA"/>
        </w:rPr>
        <w:t>乙方在履行本合同的过程中知悉或获得的甲方的没有公开的任何信息（该信息包括但不限于技术资料、信息、计算机软件、专有技术、设计方案、技术秘密、知识产权、价格条款）均属于甲方的商业秘密和技术秘密，乙方应对前述信息采取严格的保密措施，承担保密义务。乙方不应向其他人员泄露前述商业秘密和技术秘密，也不应向任何第三方转让、交换或泄漏前述商业秘密和技术秘密。但是，乙方为履行本合同的需要，使用前述商业秘密和技术秘密，不属于违反前述保密义务。</w:t>
      </w:r>
    </w:p>
    <w:p w14:paraId="37F38D41">
      <w:pPr>
        <w:widowControl w:val="0"/>
        <w:numPr>
          <w:ilvl w:val="0"/>
          <w:numId w:val="10"/>
        </w:numPr>
        <w:tabs>
          <w:tab w:val="left" w:pos="1276"/>
        </w:tabs>
        <w:snapToGrid w:val="0"/>
        <w:spacing w:line="360" w:lineRule="auto"/>
        <w:ind w:left="0" w:firstLine="480"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kern w:val="2"/>
          <w:sz w:val="24"/>
          <w:szCs w:val="22"/>
          <w:lang w:val="en-US" w:eastAsia="zh-CN" w:bidi="ar-SA"/>
        </w:rPr>
        <w:t>本合同项下的保密义务的期限为自本合同生效之日起至本合同履行完毕后五年届满之日止。</w:t>
      </w:r>
    </w:p>
    <w:p w14:paraId="136E58E4">
      <w:pPr>
        <w:snapToGrid w:val="0"/>
        <w:spacing w:line="360" w:lineRule="auto"/>
        <w:rPr>
          <w:rFonts w:hint="eastAsia" w:ascii="宋体" w:hAnsi="宋体" w:eastAsia="宋体" w:cs="宋体"/>
          <w:sz w:val="24"/>
        </w:rPr>
      </w:pPr>
    </w:p>
    <w:p w14:paraId="1FA82C40">
      <w:pPr>
        <w:widowControl w:val="0"/>
        <w:numPr>
          <w:ilvl w:val="0"/>
          <w:numId w:val="1"/>
        </w:numPr>
        <w:snapToGrid w:val="0"/>
        <w:spacing w:line="360" w:lineRule="auto"/>
        <w:ind w:left="0" w:firstLine="482"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b/>
          <w:kern w:val="2"/>
          <w:sz w:val="24"/>
          <w:szCs w:val="22"/>
          <w:lang w:val="en-US" w:eastAsia="zh-CN" w:bidi="ar-SA"/>
        </w:rPr>
        <w:t>合同争议解决</w:t>
      </w:r>
    </w:p>
    <w:p w14:paraId="753F39E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凡因本合同引起的或与本合同有关的任何争议，任何一方均可向甲方住所地人民法院提起诉讼。</w:t>
      </w:r>
    </w:p>
    <w:p w14:paraId="2CDD8B8B">
      <w:pPr>
        <w:snapToGrid w:val="0"/>
        <w:spacing w:line="360" w:lineRule="auto"/>
        <w:rPr>
          <w:rFonts w:hint="eastAsia" w:ascii="宋体" w:hAnsi="宋体" w:eastAsia="宋体" w:cs="宋体"/>
          <w:sz w:val="24"/>
        </w:rPr>
      </w:pPr>
    </w:p>
    <w:p w14:paraId="08E31723">
      <w:pPr>
        <w:widowControl w:val="0"/>
        <w:numPr>
          <w:ilvl w:val="0"/>
          <w:numId w:val="1"/>
        </w:numPr>
        <w:snapToGrid w:val="0"/>
        <w:spacing w:line="360" w:lineRule="auto"/>
        <w:ind w:left="0" w:firstLine="482" w:firstLineChars="200"/>
        <w:jc w:val="both"/>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合同修改</w:t>
      </w:r>
    </w:p>
    <w:p w14:paraId="5A50A39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双方不得单方变更本合同。甲、乙双方经协商一致，可以共同签署书面文件，作为本合同的补充。乙方不得将其在本合同中的权利或义务部分或全部的转让给第三方。</w:t>
      </w:r>
    </w:p>
    <w:p w14:paraId="305E4082">
      <w:pPr>
        <w:snapToGrid w:val="0"/>
        <w:spacing w:line="360" w:lineRule="auto"/>
        <w:rPr>
          <w:rFonts w:hint="eastAsia" w:ascii="宋体" w:hAnsi="宋体" w:eastAsia="宋体" w:cs="宋体"/>
          <w:sz w:val="24"/>
        </w:rPr>
      </w:pPr>
    </w:p>
    <w:p w14:paraId="346E2A1F">
      <w:pPr>
        <w:widowControl w:val="0"/>
        <w:numPr>
          <w:ilvl w:val="0"/>
          <w:numId w:val="1"/>
        </w:numPr>
        <w:snapToGrid w:val="0"/>
        <w:spacing w:line="360" w:lineRule="auto"/>
        <w:ind w:left="0" w:firstLine="482" w:firstLineChars="200"/>
        <w:jc w:val="both"/>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合同生效及其他</w:t>
      </w:r>
    </w:p>
    <w:p w14:paraId="18E4E6C1">
      <w:pPr>
        <w:widowControl w:val="0"/>
        <w:numPr>
          <w:ilvl w:val="0"/>
          <w:numId w:val="11"/>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本合同自甲、乙双方盖章后立即生效。本合同一式（ ）份，甲方执（ ）份，乙方执（ ）份，各份具有同等法律效力。</w:t>
      </w:r>
    </w:p>
    <w:p w14:paraId="4490B09C">
      <w:pPr>
        <w:widowControl w:val="0"/>
        <w:numPr>
          <w:ilvl w:val="0"/>
          <w:numId w:val="11"/>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为本合同的履行，甲、乙双方分别指定以下人员及电话分别为各自的联系人及联系电话，甲、乙双方分别指定本合同开头的地址为各自的邮寄送达地址：</w:t>
      </w:r>
    </w:p>
    <w:p w14:paraId="3C9F284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甲方联系人：               电话：</w:t>
      </w:r>
    </w:p>
    <w:p w14:paraId="0EACE4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乙方联系人：               电话：</w:t>
      </w:r>
    </w:p>
    <w:p w14:paraId="205B142F">
      <w:pPr>
        <w:widowControl w:val="0"/>
        <w:numPr>
          <w:ilvl w:val="0"/>
          <w:numId w:val="11"/>
        </w:numPr>
        <w:tabs>
          <w:tab w:val="left" w:pos="1276"/>
        </w:tabs>
        <w:snapToGrid w:val="0"/>
        <w:spacing w:line="360" w:lineRule="auto"/>
        <w:ind w:left="0" w:firstLine="480" w:firstLineChars="200"/>
        <w:jc w:val="both"/>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合同附件【  】和编号为【     】招标文件以及乙方的投标文件为合同不可分割的组成部分，与合同具有同等法律效力，发生冲突时，以招投标文件为准。</w:t>
      </w:r>
    </w:p>
    <w:p w14:paraId="1DD7688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（本页以下无正文）</w:t>
      </w:r>
    </w:p>
    <w:p w14:paraId="618FCBD4">
      <w:pPr>
        <w:widowControl w:val="0"/>
        <w:adjustRightInd w:val="0"/>
        <w:spacing w:line="480" w:lineRule="atLeast"/>
        <w:ind w:firstLine="420" w:firstLineChars="200"/>
        <w:jc w:val="both"/>
        <w:textAlignment w:val="baseline"/>
        <w:rPr>
          <w:rFonts w:hint="eastAsia" w:ascii="长城仿宋" w:hAnsi="Times New Roman" w:eastAsia="宋体" w:cs="Times New Roman"/>
          <w:kern w:val="0"/>
          <w:sz w:val="21"/>
          <w:szCs w:val="20"/>
          <w:lang w:val="en-US" w:eastAsia="zh-CN" w:bidi="ar-SA"/>
        </w:rPr>
      </w:pPr>
    </w:p>
    <w:p w14:paraId="4BBD5D00">
      <w:pPr>
        <w:snapToGrid w:val="0"/>
        <w:spacing w:line="360" w:lineRule="auto"/>
        <w:rPr>
          <w:rFonts w:hint="eastAsia" w:ascii="宋体" w:hAnsi="宋体" w:eastAsia="宋体" w:cs="宋体"/>
          <w:sz w:val="24"/>
        </w:rPr>
      </w:pPr>
    </w:p>
    <w:p w14:paraId="129D632D">
      <w:pPr>
        <w:snapToGrid w:val="0"/>
        <w:spacing w:line="360" w:lineRule="auto"/>
        <w:rPr>
          <w:rFonts w:hint="eastAsia" w:ascii="宋体" w:hAnsi="宋体" w:eastAsia="宋体" w:cs="宋体"/>
          <w:sz w:val="24"/>
        </w:rPr>
      </w:pPr>
    </w:p>
    <w:p w14:paraId="09C1D2FD">
      <w:pPr>
        <w:snapToGrid w:val="0"/>
        <w:spacing w:line="360" w:lineRule="auto"/>
        <w:rPr>
          <w:rFonts w:hint="eastAsia" w:ascii="宋体" w:hAnsi="宋体" w:eastAsia="宋体" w:cs="宋体"/>
          <w:sz w:val="24"/>
        </w:rPr>
      </w:pPr>
    </w:p>
    <w:p w14:paraId="1B4DA440">
      <w:pPr>
        <w:snapToGrid w:val="0"/>
        <w:spacing w:line="360" w:lineRule="auto"/>
        <w:rPr>
          <w:rFonts w:hint="eastAsia" w:ascii="宋体" w:hAnsi="宋体" w:eastAsia="宋体" w:cs="宋体"/>
          <w:sz w:val="24"/>
        </w:rPr>
      </w:pPr>
    </w:p>
    <w:p w14:paraId="7B8C3D06">
      <w:pPr>
        <w:snapToGrid w:val="0"/>
        <w:spacing w:line="360" w:lineRule="auto"/>
        <w:rPr>
          <w:rFonts w:hint="eastAsia" w:ascii="宋体" w:hAnsi="宋体" w:eastAsia="宋体" w:cs="宋体"/>
          <w:sz w:val="24"/>
        </w:rPr>
      </w:pPr>
    </w:p>
    <w:p w14:paraId="305E3C6E">
      <w:pPr>
        <w:snapToGrid w:val="0"/>
        <w:spacing w:line="360" w:lineRule="auto"/>
        <w:rPr>
          <w:rFonts w:hint="eastAsia" w:ascii="宋体" w:hAnsi="宋体" w:eastAsia="宋体" w:cs="宋体"/>
          <w:sz w:val="24"/>
        </w:rPr>
      </w:pPr>
    </w:p>
    <w:p w14:paraId="492D982C">
      <w:pPr>
        <w:snapToGrid w:val="0"/>
        <w:spacing w:line="360" w:lineRule="auto"/>
        <w:rPr>
          <w:rFonts w:hint="eastAsia" w:ascii="宋体" w:hAnsi="宋体" w:eastAsia="宋体" w:cs="宋体"/>
          <w:sz w:val="24"/>
        </w:rPr>
      </w:pPr>
    </w:p>
    <w:p w14:paraId="4E182641">
      <w:pPr>
        <w:snapToGrid w:val="0"/>
        <w:spacing w:line="360" w:lineRule="auto"/>
        <w:rPr>
          <w:rFonts w:hint="eastAsia" w:ascii="宋体" w:hAnsi="宋体" w:eastAsia="宋体" w:cs="宋体"/>
          <w:sz w:val="24"/>
        </w:rPr>
      </w:pPr>
    </w:p>
    <w:p w14:paraId="5437987B">
      <w:pPr>
        <w:snapToGrid w:val="0"/>
        <w:spacing w:line="360" w:lineRule="auto"/>
        <w:rPr>
          <w:rFonts w:hint="eastAsia" w:ascii="宋体" w:hAnsi="宋体" w:eastAsia="宋体" w:cs="宋体"/>
          <w:sz w:val="24"/>
        </w:rPr>
      </w:pPr>
    </w:p>
    <w:p w14:paraId="4D2C509E">
      <w:pPr>
        <w:snapToGrid w:val="0"/>
        <w:spacing w:line="360" w:lineRule="auto"/>
        <w:rPr>
          <w:rFonts w:hint="eastAsia" w:ascii="宋体" w:hAnsi="宋体" w:eastAsia="宋体" w:cs="宋体"/>
          <w:sz w:val="24"/>
        </w:rPr>
      </w:pPr>
    </w:p>
    <w:p w14:paraId="79875B91">
      <w:pPr>
        <w:snapToGrid w:val="0"/>
        <w:spacing w:line="360" w:lineRule="auto"/>
        <w:rPr>
          <w:rFonts w:hint="eastAsia" w:ascii="宋体" w:hAnsi="宋体" w:eastAsia="宋体" w:cs="宋体"/>
          <w:sz w:val="24"/>
        </w:rPr>
      </w:pPr>
    </w:p>
    <w:p w14:paraId="18A0209A">
      <w:pPr>
        <w:snapToGrid w:val="0"/>
        <w:spacing w:line="360" w:lineRule="auto"/>
        <w:rPr>
          <w:rFonts w:hint="eastAsia" w:ascii="宋体" w:hAnsi="宋体" w:eastAsia="宋体" w:cs="宋体"/>
          <w:sz w:val="24"/>
        </w:rPr>
      </w:pPr>
    </w:p>
    <w:p w14:paraId="087B1BE9">
      <w:pPr>
        <w:snapToGrid w:val="0"/>
        <w:spacing w:line="360" w:lineRule="auto"/>
        <w:rPr>
          <w:rFonts w:hint="eastAsia" w:ascii="宋体" w:hAnsi="宋体" w:eastAsia="宋体" w:cs="宋体"/>
          <w:sz w:val="24"/>
        </w:rPr>
      </w:pPr>
      <w:r>
        <w:rPr>
          <w:rFonts w:hint="eastAsia" w:ascii="宋体" w:hAnsi="宋体" w:eastAsia="宋体" w:cs="宋体"/>
          <w:sz w:val="24"/>
        </w:rPr>
        <w:t>（本页为《</w:t>
      </w:r>
      <w:r>
        <w:rPr>
          <w:rFonts w:hint="eastAsia" w:ascii="宋体" w:hAnsi="宋体" w:eastAsia="宋体" w:cs="宋体"/>
          <w:sz w:val="24"/>
          <w:lang w:eastAsia="zh-CN"/>
        </w:rPr>
        <w:t>观湖北及福城南产业片区土地整备利益统筹项目已入库地块围挡维护维修项目围挡材料及围挡配件供应</w:t>
      </w:r>
      <w:r>
        <w:rPr>
          <w:rFonts w:hint="eastAsia" w:ascii="宋体" w:hAnsi="宋体" w:eastAsia="宋体" w:cs="宋体"/>
          <w:sz w:val="24"/>
        </w:rPr>
        <w:t>合同书》之签字页）</w:t>
      </w:r>
    </w:p>
    <w:p w14:paraId="319187EA">
      <w:pPr>
        <w:snapToGrid w:val="0"/>
        <w:spacing w:line="360" w:lineRule="auto"/>
        <w:rPr>
          <w:rFonts w:hint="eastAsia" w:ascii="宋体" w:hAnsi="宋体" w:eastAsia="宋体" w:cs="宋体"/>
          <w:sz w:val="24"/>
        </w:rPr>
      </w:pPr>
    </w:p>
    <w:p w14:paraId="116250DB">
      <w:pPr>
        <w:snapToGrid w:val="0"/>
        <w:spacing w:line="360" w:lineRule="auto"/>
        <w:rPr>
          <w:rFonts w:hint="eastAsia" w:ascii="宋体" w:hAnsi="宋体" w:eastAsia="宋体" w:cs="宋体"/>
          <w:sz w:val="24"/>
        </w:rPr>
      </w:pPr>
      <w:r>
        <w:rPr>
          <w:rFonts w:hint="eastAsia" w:ascii="宋体" w:hAnsi="宋体" w:eastAsia="宋体" w:cs="宋体"/>
          <w:sz w:val="24"/>
        </w:rPr>
        <w:t>甲方(盖章)：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E12C7">
      <w:pPr>
        <w:snapToGrid w:val="0"/>
        <w:spacing w:line="360" w:lineRule="auto"/>
        <w:rPr>
          <w:rFonts w:hint="eastAsia" w:ascii="宋体" w:hAnsi="宋体" w:eastAsia="宋体" w:cs="宋体"/>
          <w:sz w:val="24"/>
        </w:rPr>
      </w:pPr>
    </w:p>
    <w:p w14:paraId="06BAA0A9">
      <w:pPr>
        <w:snapToGrid w:val="0"/>
        <w:spacing w:line="360" w:lineRule="auto"/>
        <w:rPr>
          <w:rFonts w:hint="eastAsia" w:ascii="宋体" w:hAnsi="宋体" w:eastAsia="宋体" w:cs="宋体"/>
          <w:sz w:val="24"/>
        </w:rPr>
      </w:pPr>
      <w:r>
        <w:rPr>
          <w:rFonts w:hint="eastAsia" w:ascii="宋体" w:hAnsi="宋体" w:eastAsia="宋体" w:cs="宋体"/>
          <w:sz w:val="24"/>
        </w:rPr>
        <w:t xml:space="preserve">法定代表人或授权代表(签字)： </w:t>
      </w:r>
    </w:p>
    <w:p w14:paraId="00B8BC09">
      <w:pPr>
        <w:spacing w:line="360" w:lineRule="auto"/>
        <w:rPr>
          <w:rFonts w:hint="eastAsia" w:ascii="宋体" w:hAnsi="宋体" w:eastAsia="宋体" w:cs="宋体"/>
          <w:sz w:val="24"/>
        </w:rPr>
      </w:pPr>
    </w:p>
    <w:p w14:paraId="04526569">
      <w:pPr>
        <w:spacing w:line="360" w:lineRule="auto"/>
        <w:rPr>
          <w:rFonts w:hint="eastAsia" w:ascii="宋体" w:hAnsi="宋体" w:eastAsia="宋体" w:cs="宋体"/>
          <w:sz w:val="24"/>
        </w:rPr>
      </w:pPr>
      <w:r>
        <w:rPr>
          <w:rFonts w:hint="eastAsia" w:ascii="宋体" w:hAnsi="宋体" w:eastAsia="宋体" w:cs="宋体"/>
          <w:sz w:val="24"/>
        </w:rPr>
        <w:t xml:space="preserve">签订日期：     年   月    日        </w:t>
      </w:r>
    </w:p>
    <w:p w14:paraId="16612476">
      <w:pPr>
        <w:spacing w:line="360" w:lineRule="auto"/>
        <w:rPr>
          <w:rFonts w:hint="eastAsia" w:ascii="宋体" w:hAnsi="宋体" w:eastAsia="宋体" w:cs="宋体"/>
          <w:sz w:val="24"/>
        </w:rPr>
      </w:pPr>
    </w:p>
    <w:p w14:paraId="3CB1E9B3">
      <w:pPr>
        <w:spacing w:line="360" w:lineRule="auto"/>
        <w:rPr>
          <w:rFonts w:hint="eastAsia" w:ascii="宋体" w:hAnsi="宋体" w:eastAsia="宋体" w:cs="宋体"/>
          <w:sz w:val="24"/>
        </w:rPr>
      </w:pPr>
    </w:p>
    <w:p w14:paraId="7318E003">
      <w:pPr>
        <w:spacing w:line="360" w:lineRule="auto"/>
        <w:rPr>
          <w:rFonts w:hint="eastAsia" w:ascii="宋体" w:hAnsi="宋体" w:eastAsia="宋体" w:cs="宋体"/>
          <w:sz w:val="24"/>
          <w:u w:val="single"/>
        </w:rPr>
      </w:pPr>
      <w:r>
        <w:rPr>
          <w:rFonts w:hint="eastAsia" w:ascii="宋体" w:hAnsi="宋体" w:eastAsia="宋体" w:cs="宋体"/>
          <w:sz w:val="24"/>
        </w:rPr>
        <w:t>乙方(盖章)：</w:t>
      </w:r>
      <w:r>
        <w:rPr>
          <w:rFonts w:hint="eastAsia" w:ascii="宋体" w:hAnsi="宋体" w:eastAsia="宋体" w:cs="宋体"/>
          <w:sz w:val="24"/>
          <w:u w:val="single"/>
        </w:rPr>
        <w:t xml:space="preserve">                    </w:t>
      </w:r>
    </w:p>
    <w:p w14:paraId="5BC4AA3E">
      <w:pPr>
        <w:spacing w:line="360" w:lineRule="auto"/>
        <w:rPr>
          <w:rFonts w:hint="eastAsia" w:ascii="宋体" w:hAnsi="宋体" w:eastAsia="宋体" w:cs="宋体"/>
          <w:sz w:val="24"/>
          <w:u w:val="single"/>
        </w:rPr>
      </w:pPr>
    </w:p>
    <w:p w14:paraId="3F72AE22">
      <w:pPr>
        <w:spacing w:line="360" w:lineRule="auto"/>
        <w:rPr>
          <w:rFonts w:hint="eastAsia" w:ascii="宋体" w:hAnsi="宋体" w:eastAsia="宋体" w:cs="宋体"/>
          <w:sz w:val="24"/>
          <w:u w:val="single"/>
        </w:rPr>
      </w:pPr>
      <w:r>
        <w:rPr>
          <w:rFonts w:hint="eastAsia" w:ascii="宋体" w:hAnsi="宋体" w:eastAsia="宋体" w:cs="宋体"/>
          <w:sz w:val="24"/>
        </w:rPr>
        <w:t>法定代表人或授权代表(签字)：</w:t>
      </w:r>
    </w:p>
    <w:p w14:paraId="2F9516F6">
      <w:pPr>
        <w:spacing w:line="360" w:lineRule="auto"/>
        <w:rPr>
          <w:rFonts w:hint="eastAsia" w:ascii="宋体" w:hAnsi="宋体" w:eastAsia="宋体" w:cs="宋体"/>
          <w:sz w:val="24"/>
          <w:u w:val="single"/>
        </w:rPr>
      </w:pPr>
    </w:p>
    <w:p w14:paraId="23B5AEEC">
      <w:pPr>
        <w:spacing w:line="360" w:lineRule="auto"/>
        <w:rPr>
          <w:rFonts w:hint="eastAsia" w:ascii="宋体" w:hAnsi="宋体" w:eastAsia="宋体" w:cs="宋体"/>
          <w:sz w:val="24"/>
        </w:rPr>
      </w:pPr>
      <w:r>
        <w:rPr>
          <w:rFonts w:hint="eastAsia" w:ascii="宋体" w:hAnsi="宋体" w:eastAsia="宋体" w:cs="宋体"/>
          <w:sz w:val="24"/>
        </w:rPr>
        <w:t>签订日期：    年    月   日</w:t>
      </w:r>
    </w:p>
    <w:p w14:paraId="456D9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E2566"/>
    <w:multiLevelType w:val="multilevel"/>
    <w:tmpl w:val="086E2566"/>
    <w:lvl w:ilvl="0" w:tentative="0">
      <w:start w:val="1"/>
      <w:numFmt w:val="decimal"/>
      <w:lvlText w:val="3.%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9CA42E0"/>
    <w:multiLevelType w:val="multilevel"/>
    <w:tmpl w:val="09CA42E0"/>
    <w:lvl w:ilvl="0" w:tentative="0">
      <w:start w:val="1"/>
      <w:numFmt w:val="decimal"/>
      <w:lvlText w:val="4.%1"/>
      <w:lvlJc w:val="left"/>
      <w:pPr>
        <w:ind w:left="420" w:hanging="420"/>
      </w:pPr>
      <w:rPr>
        <w:rFonts w:hint="eastAsia"/>
      </w:rPr>
    </w:lvl>
    <w:lvl w:ilvl="1" w:tentative="0">
      <w:start w:val="1"/>
      <w:numFmt w:val="decimal"/>
      <w:lvlText w:val="4.%2"/>
      <w:lvlJc w:val="left"/>
      <w:pPr>
        <w:ind w:left="840" w:hanging="420"/>
      </w:pPr>
      <w:rPr>
        <w:rFonts w:hint="eastAsia"/>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E83AE2"/>
    <w:multiLevelType w:val="multilevel"/>
    <w:tmpl w:val="32E83AE2"/>
    <w:lvl w:ilvl="0" w:tentative="0">
      <w:start w:val="1"/>
      <w:numFmt w:val="decimal"/>
      <w:lvlText w:val="9.%1"/>
      <w:lvlJc w:val="left"/>
      <w:pPr>
        <w:ind w:left="840" w:hanging="420"/>
      </w:pPr>
      <w:rPr>
        <w:rFonts w:hint="eastAsia" w:ascii="宋体" w:hAnsi="宋体"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9E008C"/>
    <w:multiLevelType w:val="multilevel"/>
    <w:tmpl w:val="339E008C"/>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C326CF"/>
    <w:multiLevelType w:val="multilevel"/>
    <w:tmpl w:val="3DC326CF"/>
    <w:lvl w:ilvl="0" w:tentative="0">
      <w:start w:val="1"/>
      <w:numFmt w:val="decimal"/>
      <w:lvlText w:val="5.%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06A54A7"/>
    <w:multiLevelType w:val="multilevel"/>
    <w:tmpl w:val="406A54A7"/>
    <w:lvl w:ilvl="0" w:tentative="0">
      <w:start w:val="1"/>
      <w:numFmt w:val="decimal"/>
      <w:lvlText w:val="11.%1"/>
      <w:lvlJc w:val="left"/>
      <w:pPr>
        <w:ind w:left="840" w:hanging="420"/>
      </w:pPr>
      <w:rPr>
        <w:rFonts w:hint="eastAsia" w:ascii="宋体" w:hAnsi="宋体" w:eastAsia="宋体"/>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0411995"/>
    <w:multiLevelType w:val="multilevel"/>
    <w:tmpl w:val="50411995"/>
    <w:lvl w:ilvl="0" w:tentative="0">
      <w:start w:val="1"/>
      <w:numFmt w:val="decimal"/>
      <w:lvlText w:val="6.%1"/>
      <w:lvlJc w:val="left"/>
      <w:pPr>
        <w:ind w:left="420" w:hanging="420"/>
      </w:pPr>
      <w:rPr>
        <w:rFonts w:hint="eastAsia" w:ascii="宋体" w:hAnsi="宋体" w:eastAsia="宋体"/>
        <w:b w:val="0"/>
        <w:sz w:val="24"/>
      </w:rPr>
    </w:lvl>
    <w:lvl w:ilvl="1" w:tentative="0">
      <w:start w:val="1"/>
      <w:numFmt w:val="decimal"/>
      <w:lvlText w:val="7.%2"/>
      <w:lvlJc w:val="left"/>
      <w:pPr>
        <w:ind w:left="840" w:hanging="420"/>
      </w:pPr>
      <w:rPr>
        <w:rFonts w:hint="eastAsia" w:ascii="宋体" w:hAnsi="宋体" w:eastAsia="宋体"/>
        <w:sz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5702A9"/>
    <w:multiLevelType w:val="multilevel"/>
    <w:tmpl w:val="535702A9"/>
    <w:lvl w:ilvl="0" w:tentative="0">
      <w:start w:val="1"/>
      <w:numFmt w:val="decimal"/>
      <w:lvlText w:val="14.%1"/>
      <w:lvlJc w:val="left"/>
      <w:pPr>
        <w:ind w:left="840" w:hanging="420"/>
      </w:pPr>
      <w:rPr>
        <w:rFonts w:hint="eastAsia" w:ascii="宋体" w:hAnsi="宋体" w:eastAsia="宋体"/>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B6E6659"/>
    <w:multiLevelType w:val="multilevel"/>
    <w:tmpl w:val="5B6E6659"/>
    <w:lvl w:ilvl="0" w:tentative="0">
      <w:start w:val="1"/>
      <w:numFmt w:val="decimal"/>
      <w:lvlText w:val="8.%1"/>
      <w:lvlJc w:val="left"/>
      <w:pPr>
        <w:ind w:left="840" w:hanging="420"/>
      </w:pPr>
      <w:rPr>
        <w:rFonts w:hint="eastAsia" w:ascii="宋体" w:hAnsi="宋体"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5694841"/>
    <w:multiLevelType w:val="multilevel"/>
    <w:tmpl w:val="65694841"/>
    <w:lvl w:ilvl="0" w:tentative="0">
      <w:start w:val="1"/>
      <w:numFmt w:val="japaneseCounting"/>
      <w:lvlText w:val="第%1条"/>
      <w:lvlJc w:val="left"/>
      <w:pPr>
        <w:ind w:left="1266" w:hanging="840"/>
      </w:pPr>
      <w:rPr>
        <w:rFonts w:hint="default"/>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2601E4C"/>
    <w:multiLevelType w:val="multilevel"/>
    <w:tmpl w:val="72601E4C"/>
    <w:lvl w:ilvl="0" w:tentative="0">
      <w:start w:val="1"/>
      <w:numFmt w:val="decimal"/>
      <w:lvlText w:val="10.%1"/>
      <w:lvlJc w:val="left"/>
      <w:pPr>
        <w:ind w:left="840" w:hanging="420"/>
      </w:pPr>
      <w:rPr>
        <w:rFonts w:hint="eastAsia" w:ascii="宋体" w:hAnsi="宋体"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3"/>
  </w:num>
  <w:num w:numId="3">
    <w:abstractNumId w:val="0"/>
  </w:num>
  <w:num w:numId="4">
    <w:abstractNumId w:val="1"/>
  </w:num>
  <w:num w:numId="5">
    <w:abstractNumId w:val="4"/>
  </w:num>
  <w:num w:numId="6">
    <w:abstractNumId w:val="6"/>
  </w:num>
  <w:num w:numId="7">
    <w:abstractNumId w:val="8"/>
  </w:num>
  <w:num w:numId="8">
    <w:abstractNumId w:val="2"/>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768B7"/>
    <w:rsid w:val="2450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kern w:val="0"/>
      <w:sz w:val="20"/>
    </w:rPr>
  </w:style>
  <w:style w:type="paragraph" w:styleId="4">
    <w:name w:val="Body Text First Indent 2"/>
    <w:basedOn w:val="3"/>
    <w:qFormat/>
    <w:uiPriority w:val="0"/>
    <w:pPr>
      <w:tabs>
        <w:tab w:val="left" w:pos="673"/>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5501</Words>
  <Characters>5508</Characters>
  <Lines>0</Lines>
  <Paragraphs>0</Paragraphs>
  <TotalTime>0</TotalTime>
  <ScaleCrop>false</ScaleCrop>
  <LinksUpToDate>false</LinksUpToDate>
  <CharactersWithSpaces>6175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2026-01-04T09:16:00Z</dcterms:created>
  <dc:creator>Administrator</dc:creator>
  <cp:lastModifiedBy>13</cp:lastModifiedBy>
  <dcterms:modified xsi:type="dcterms:W3CDTF">2026-01-05T02:31:32Z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eyJoZGlkIjoiMGM5NjIyOGU5NTI0NDk2YjgyNDJkMzM2NWFjYjJjNzciLCJ1c2VySWQiOiIxMDAyMTU3MzQ5In0=</vt:lpwstr>
  </property>
  <property fmtid="{D5CDD505-2E9C-101B-9397-08002B2CF9AE}" pid="4" name="ICV">
    <vt:lpwstr>274FB125D00E4766B2E79B380E91E527_12</vt:lpwstr>
  </property>
</Properties>
</file>