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F51B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587577E1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投标文件要求一览表</w:t>
      </w:r>
    </w:p>
    <w:tbl>
      <w:tblPr>
        <w:tblStyle w:val="16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7445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93DE31C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0B3D7E88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092F5C0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6325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B2239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6743F1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5F737F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46C4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57172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4EB2F0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AB3C5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C2F8DE7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6060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tcBorders/>
            <w:shd w:val="clear" w:color="auto" w:fill="auto"/>
            <w:vAlign w:val="center"/>
          </w:tcPr>
          <w:p w14:paraId="2BBC50E3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tcBorders/>
            <w:vAlign w:val="center"/>
          </w:tcPr>
          <w:p w14:paraId="1AB3448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129A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C285646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C41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tcBorders/>
            <w:shd w:val="clear" w:color="auto" w:fill="auto"/>
            <w:vAlign w:val="center"/>
          </w:tcPr>
          <w:p w14:paraId="5F2F165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tcBorders/>
            <w:vAlign w:val="center"/>
          </w:tcPr>
          <w:p w14:paraId="5B8263B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3DA73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D4BD78C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38A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tcBorders/>
            <w:shd w:val="clear" w:color="auto" w:fill="auto"/>
            <w:vAlign w:val="center"/>
          </w:tcPr>
          <w:p w14:paraId="725B2C3D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tcBorders/>
            <w:vAlign w:val="center"/>
          </w:tcPr>
          <w:p w14:paraId="382F975E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F801C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774CF2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A96EB1E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4019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tcBorders/>
            <w:shd w:val="clear" w:color="auto" w:fill="auto"/>
            <w:vAlign w:val="center"/>
          </w:tcPr>
          <w:p w14:paraId="058D3DB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tcBorders/>
            <w:vAlign w:val="center"/>
          </w:tcPr>
          <w:p w14:paraId="418BB1A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EAB2B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B1E1DC0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6DB8A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tcBorders/>
            <w:shd w:val="clear" w:color="auto" w:fill="auto"/>
            <w:vAlign w:val="center"/>
          </w:tcPr>
          <w:p w14:paraId="2CC6B41B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tcBorders/>
            <w:vAlign w:val="center"/>
          </w:tcPr>
          <w:p w14:paraId="5B54A4CE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F2B2DF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9283C4B">
            <w:p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”。</w:t>
            </w:r>
          </w:p>
        </w:tc>
      </w:tr>
      <w:tr w14:paraId="7CBA7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tcBorders/>
            <w:shd w:val="clear" w:color="auto" w:fill="auto"/>
            <w:vAlign w:val="center"/>
          </w:tcPr>
          <w:p w14:paraId="5EBDEFB2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tcBorders/>
            <w:vAlign w:val="center"/>
          </w:tcPr>
          <w:p w14:paraId="778D81D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5E0FEA9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同类业绩合同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11A3D6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提供1项近三年</w:t>
            </w:r>
            <w:r>
              <w:rPr>
                <w:rFonts w:hint="eastAsia"/>
              </w:rPr>
              <w:t>单项合同金额</w:t>
            </w:r>
            <w:r>
              <w:rPr>
                <w:rFonts w:hint="eastAsia"/>
                <w:lang w:val="en-US" w:eastAsia="zh-CN"/>
              </w:rPr>
              <w:t>不小于</w:t>
            </w:r>
            <w:r>
              <w:rPr>
                <w:rFonts w:hint="eastAsia"/>
              </w:rPr>
              <w:t>本项目</w:t>
            </w:r>
            <w:r>
              <w:rPr>
                <w:rFonts w:hint="eastAsia"/>
                <w:lang w:val="en-US" w:eastAsia="zh-CN"/>
              </w:rPr>
              <w:t>投标上限</w:t>
            </w:r>
            <w:r>
              <w:rPr>
                <w:rFonts w:hint="eastAsia"/>
              </w:rPr>
              <w:t>价的</w:t>
            </w:r>
            <w:r>
              <w:rPr>
                <w:rFonts w:hint="eastAsia"/>
                <w:lang w:val="en-US" w:eastAsia="zh-CN"/>
              </w:rPr>
              <w:t>运营耗品项</w:t>
            </w:r>
            <w:r>
              <w:rPr>
                <w:rFonts w:hint="eastAsia"/>
              </w:rPr>
              <w:t>目业绩，须体现合同主体、合同范围、合同金额、合同盖章等关键页</w:t>
            </w:r>
            <w:r>
              <w:rPr>
                <w:rFonts w:hint="eastAsia"/>
                <w:lang w:val="en-US" w:eastAsia="zh-CN"/>
              </w:rPr>
              <w:t>等。</w:t>
            </w:r>
          </w:p>
        </w:tc>
      </w:tr>
      <w:tr w14:paraId="2D549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24BC9CD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</w:t>
            </w:r>
          </w:p>
        </w:tc>
        <w:tc>
          <w:tcPr>
            <w:tcW w:w="1303" w:type="dxa"/>
            <w:vAlign w:val="center"/>
          </w:tcPr>
          <w:p w14:paraId="1350746A">
            <w:pPr>
              <w:pStyle w:val="14"/>
              <w:keepNext w:val="0"/>
              <w:keepLines w:val="0"/>
              <w:widowControl/>
              <w:suppressLineNumbers w:val="0"/>
              <w:spacing w:beforeAutospacing="1" w:afterAutospacing="1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价格标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B941F75">
            <w:pPr>
              <w:ind w:firstLine="48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投标报价书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94FFA8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原件盖公章，格式详见“</w:t>
            </w:r>
            <w:r>
              <w:rPr>
                <w:rFonts w:hint="eastAsia"/>
                <w:lang w:val="en-US" w:eastAsia="zh-CN"/>
              </w:rPr>
              <w:t>报价清单</w:t>
            </w:r>
            <w:r>
              <w:rPr>
                <w:rFonts w:hint="eastAsia"/>
              </w:rPr>
              <w:t>”。</w:t>
            </w:r>
          </w:p>
        </w:tc>
      </w:tr>
    </w:tbl>
    <w:p w14:paraId="7B9F4CD6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081E2E50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6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235137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880FD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F7A5899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5AE42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CB039CC">
            <w:pPr>
              <w:rPr>
                <w:rFonts w:hint="eastAsia"/>
              </w:rPr>
            </w:pPr>
          </w:p>
        </w:tc>
      </w:tr>
      <w:tr w14:paraId="18C201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A2801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D0B782C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D38F8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5A644018">
            <w:pPr>
              <w:rPr>
                <w:rFonts w:hint="eastAsia"/>
              </w:rPr>
            </w:pPr>
          </w:p>
        </w:tc>
      </w:tr>
      <w:tr w14:paraId="541844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14EC2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0D0EDCF1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C403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8E98AB9">
            <w:pPr>
              <w:rPr>
                <w:rFonts w:hint="eastAsia"/>
              </w:rPr>
            </w:pPr>
          </w:p>
        </w:tc>
      </w:tr>
      <w:tr w14:paraId="7A855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154FB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1BD93CF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718DA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FBEB5DE">
            <w:pPr>
              <w:rPr>
                <w:rFonts w:hint="eastAsia"/>
              </w:rPr>
            </w:pPr>
          </w:p>
        </w:tc>
      </w:tr>
      <w:tr w14:paraId="13A352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95341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0770BB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62F7C389">
            <w:pPr>
              <w:rPr>
                <w:rFonts w:hint="eastAsia"/>
              </w:rPr>
            </w:pPr>
          </w:p>
        </w:tc>
      </w:tr>
      <w:tr w14:paraId="30AB62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2E86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62A051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1274575">
            <w:pPr>
              <w:rPr>
                <w:rFonts w:hint="eastAsia"/>
              </w:rPr>
            </w:pPr>
          </w:p>
        </w:tc>
      </w:tr>
      <w:tr w14:paraId="77CE1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1A11D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6E7F21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FC94712">
            <w:pPr>
              <w:rPr>
                <w:rFonts w:hint="eastAsia"/>
              </w:rPr>
            </w:pPr>
          </w:p>
        </w:tc>
      </w:tr>
      <w:tr w14:paraId="7A1117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E5700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1D886A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0B5C290">
            <w:pPr>
              <w:rPr>
                <w:rFonts w:hint="eastAsia"/>
              </w:rPr>
            </w:pPr>
          </w:p>
        </w:tc>
      </w:tr>
      <w:tr w14:paraId="7226AD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B351E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2E8CFC4">
            <w:pPr>
              <w:rPr>
                <w:rFonts w:hint="eastAsia"/>
              </w:rPr>
            </w:pPr>
          </w:p>
        </w:tc>
      </w:tr>
    </w:tbl>
    <w:p w14:paraId="25C31DD1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2748655F">
      <w:pPr>
        <w:rPr>
          <w:rFonts w:hint="eastAsia" w:eastAsia="仿宋_GB2312"/>
        </w:rPr>
      </w:pPr>
      <w:r>
        <w:br w:type="page"/>
      </w:r>
    </w:p>
    <w:p w14:paraId="167B22FD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2</w:t>
      </w:r>
    </w:p>
    <w:p w14:paraId="1DFD3DAA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4756FEBE">
      <w:pPr>
        <w:pStyle w:val="11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深圳市龙华建设发展集团有限公司</w:t>
      </w:r>
    </w:p>
    <w:p w14:paraId="5F131B3F"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深圳市人才研修院龙华分院2026年度日常运营耗品采购项目 </w:t>
      </w:r>
      <w:r>
        <w:rPr>
          <w:rFonts w:hint="eastAsia"/>
        </w:rPr>
        <w:t>公告的所有内容及要求，为此作出如下承诺：</w:t>
      </w:r>
    </w:p>
    <w:p w14:paraId="2D6E14EE">
      <w:pPr>
        <w:pStyle w:val="11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6A17400F">
      <w:pPr>
        <w:pStyle w:val="11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7E065BFC">
      <w:pPr>
        <w:pStyle w:val="11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73EAF5B4">
      <w:pPr>
        <w:pStyle w:val="11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7E424B84">
      <w:pPr>
        <w:pStyle w:val="11"/>
        <w:spacing w:line="560" w:lineRule="exact"/>
        <w:ind w:firstLine="480" w:firstLineChars="200"/>
      </w:pPr>
      <w:r>
        <w:rPr>
          <w:rFonts w:hint="eastAsia"/>
        </w:rPr>
        <w:t>（1）视作我方单方面违约，</w:t>
      </w:r>
      <w:r>
        <w:rPr>
          <w:rFonts w:hint="eastAsia"/>
          <w:highlight w:val="none"/>
          <w:lang w:eastAsia="zh-CN"/>
        </w:rPr>
        <w:t>同意根据招标人</w:t>
      </w:r>
      <w:r>
        <w:rPr>
          <w:rFonts w:hint="eastAsia"/>
          <w:highlight w:val="none"/>
          <w:lang w:val="en-US" w:eastAsia="zh-CN"/>
        </w:rPr>
        <w:t>要求注销注册额度并</w:t>
      </w:r>
      <w:r>
        <w:rPr>
          <w:rFonts w:hint="eastAsia"/>
        </w:rPr>
        <w:t>按照合同规定向贵方支付违约金或解除合同；</w:t>
      </w:r>
    </w:p>
    <w:p w14:paraId="4A6977C2">
      <w:pPr>
        <w:pStyle w:val="11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6F696807">
      <w:pPr>
        <w:pStyle w:val="11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4B919511">
      <w:pPr>
        <w:pStyle w:val="11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3EF139BD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127282BB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4CA535BF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p w14:paraId="73AA2F34">
      <w:pPr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3</w:t>
      </w:r>
    </w:p>
    <w:bookmarkEnd w:id="0"/>
    <w:bookmarkEnd w:id="1"/>
    <w:p w14:paraId="1A7DD3C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同类项目业绩合同（格式自拟）</w:t>
      </w:r>
    </w:p>
    <w:p w14:paraId="485ADD69">
      <w:pPr>
        <w:rPr>
          <w:rFonts w:hint="default"/>
          <w:lang w:val="en-US" w:eastAsia="zh-CN"/>
        </w:rPr>
      </w:pPr>
      <w:bookmarkStart w:id="2" w:name="_GoBack"/>
      <w:bookmarkEnd w:id="2"/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14A1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745359"/>
    <w:rsid w:val="03936C6A"/>
    <w:rsid w:val="039C2053"/>
    <w:rsid w:val="03AD776D"/>
    <w:rsid w:val="03C926DB"/>
    <w:rsid w:val="03FA7913"/>
    <w:rsid w:val="042D158D"/>
    <w:rsid w:val="04E06965"/>
    <w:rsid w:val="04E0715A"/>
    <w:rsid w:val="05093353"/>
    <w:rsid w:val="052063E5"/>
    <w:rsid w:val="05475D0D"/>
    <w:rsid w:val="05C25634"/>
    <w:rsid w:val="099C43EE"/>
    <w:rsid w:val="09C82DE9"/>
    <w:rsid w:val="0A864229"/>
    <w:rsid w:val="0B2B2741"/>
    <w:rsid w:val="0B751303"/>
    <w:rsid w:val="0C5D4B54"/>
    <w:rsid w:val="0D0A78C0"/>
    <w:rsid w:val="0E59465B"/>
    <w:rsid w:val="0E894879"/>
    <w:rsid w:val="0FEF02B3"/>
    <w:rsid w:val="105B1B61"/>
    <w:rsid w:val="113648A1"/>
    <w:rsid w:val="11903B4E"/>
    <w:rsid w:val="11DD1ECE"/>
    <w:rsid w:val="135678EB"/>
    <w:rsid w:val="137E32EB"/>
    <w:rsid w:val="13AF48C1"/>
    <w:rsid w:val="13E52432"/>
    <w:rsid w:val="143B4971"/>
    <w:rsid w:val="14700CB1"/>
    <w:rsid w:val="14B260F9"/>
    <w:rsid w:val="154347A2"/>
    <w:rsid w:val="15CA2AC0"/>
    <w:rsid w:val="16244E15"/>
    <w:rsid w:val="16296DE9"/>
    <w:rsid w:val="16B42882"/>
    <w:rsid w:val="171056A3"/>
    <w:rsid w:val="17C73392"/>
    <w:rsid w:val="18893450"/>
    <w:rsid w:val="19150AB5"/>
    <w:rsid w:val="197D0897"/>
    <w:rsid w:val="1A574B6D"/>
    <w:rsid w:val="1B763B8B"/>
    <w:rsid w:val="1C550B58"/>
    <w:rsid w:val="1D2B7B0B"/>
    <w:rsid w:val="1D2D4FB9"/>
    <w:rsid w:val="1DBD26D8"/>
    <w:rsid w:val="1DDD4CE7"/>
    <w:rsid w:val="1E253381"/>
    <w:rsid w:val="1EF45FD8"/>
    <w:rsid w:val="1F8E7E31"/>
    <w:rsid w:val="213A031C"/>
    <w:rsid w:val="21F433CC"/>
    <w:rsid w:val="234E0702"/>
    <w:rsid w:val="24B70CBB"/>
    <w:rsid w:val="25CD7E3F"/>
    <w:rsid w:val="2761109D"/>
    <w:rsid w:val="27BD652A"/>
    <w:rsid w:val="27CD6B32"/>
    <w:rsid w:val="2847702A"/>
    <w:rsid w:val="29304E64"/>
    <w:rsid w:val="294544BB"/>
    <w:rsid w:val="29D15596"/>
    <w:rsid w:val="2A443FBA"/>
    <w:rsid w:val="2BD8555E"/>
    <w:rsid w:val="2D046D3E"/>
    <w:rsid w:val="2D0B53A1"/>
    <w:rsid w:val="2D7C0663"/>
    <w:rsid w:val="2D87596E"/>
    <w:rsid w:val="2E626A2F"/>
    <w:rsid w:val="2E7F19D7"/>
    <w:rsid w:val="2F424F98"/>
    <w:rsid w:val="2F9C3726"/>
    <w:rsid w:val="300307CB"/>
    <w:rsid w:val="301B4C7C"/>
    <w:rsid w:val="3022487E"/>
    <w:rsid w:val="306A4EEC"/>
    <w:rsid w:val="314E3D74"/>
    <w:rsid w:val="31C37EBA"/>
    <w:rsid w:val="321049D0"/>
    <w:rsid w:val="32B00E4D"/>
    <w:rsid w:val="33BF02E8"/>
    <w:rsid w:val="342D0929"/>
    <w:rsid w:val="3444618C"/>
    <w:rsid w:val="36C97D20"/>
    <w:rsid w:val="37490F77"/>
    <w:rsid w:val="375A4DCC"/>
    <w:rsid w:val="38DB4455"/>
    <w:rsid w:val="394C50D9"/>
    <w:rsid w:val="396C61CD"/>
    <w:rsid w:val="3A3E4582"/>
    <w:rsid w:val="3A4F7256"/>
    <w:rsid w:val="3C680E8A"/>
    <w:rsid w:val="3D3171E8"/>
    <w:rsid w:val="3DFC3452"/>
    <w:rsid w:val="3E5B5091"/>
    <w:rsid w:val="3E846C23"/>
    <w:rsid w:val="3ECF3E9B"/>
    <w:rsid w:val="40FE4130"/>
    <w:rsid w:val="42D02437"/>
    <w:rsid w:val="42E53259"/>
    <w:rsid w:val="43A37C06"/>
    <w:rsid w:val="43D02C60"/>
    <w:rsid w:val="43FB5E70"/>
    <w:rsid w:val="4540092C"/>
    <w:rsid w:val="462140AB"/>
    <w:rsid w:val="468F4DC7"/>
    <w:rsid w:val="48906A9A"/>
    <w:rsid w:val="48927A1F"/>
    <w:rsid w:val="498E7188"/>
    <w:rsid w:val="49AB55A6"/>
    <w:rsid w:val="49E416F6"/>
    <w:rsid w:val="4AD56CD4"/>
    <w:rsid w:val="4B646EED"/>
    <w:rsid w:val="4E66112F"/>
    <w:rsid w:val="4F722566"/>
    <w:rsid w:val="4FA42C81"/>
    <w:rsid w:val="4FB10B38"/>
    <w:rsid w:val="4FEC5144"/>
    <w:rsid w:val="4FF14809"/>
    <w:rsid w:val="50317CDC"/>
    <w:rsid w:val="50640BF4"/>
    <w:rsid w:val="525B2E2C"/>
    <w:rsid w:val="5507090D"/>
    <w:rsid w:val="55082E23"/>
    <w:rsid w:val="561A5A4B"/>
    <w:rsid w:val="56CB2B66"/>
    <w:rsid w:val="573E554E"/>
    <w:rsid w:val="57AF2DEA"/>
    <w:rsid w:val="57AF6A32"/>
    <w:rsid w:val="5AF83711"/>
    <w:rsid w:val="5BB04C2C"/>
    <w:rsid w:val="5BF14D74"/>
    <w:rsid w:val="5C7368BB"/>
    <w:rsid w:val="5CE65575"/>
    <w:rsid w:val="5D227959"/>
    <w:rsid w:val="5E330C9F"/>
    <w:rsid w:val="5F184712"/>
    <w:rsid w:val="604030F9"/>
    <w:rsid w:val="605C71A6"/>
    <w:rsid w:val="6140578B"/>
    <w:rsid w:val="619F6539"/>
    <w:rsid w:val="620843A5"/>
    <w:rsid w:val="62141106"/>
    <w:rsid w:val="63260F99"/>
    <w:rsid w:val="66C13CC1"/>
    <w:rsid w:val="67244646"/>
    <w:rsid w:val="67E1027C"/>
    <w:rsid w:val="684E0792"/>
    <w:rsid w:val="68610DE6"/>
    <w:rsid w:val="68D0468F"/>
    <w:rsid w:val="68D61143"/>
    <w:rsid w:val="6A7177BA"/>
    <w:rsid w:val="6B08757A"/>
    <w:rsid w:val="6B5477F9"/>
    <w:rsid w:val="6B971973"/>
    <w:rsid w:val="6C472EBA"/>
    <w:rsid w:val="6CBE6A81"/>
    <w:rsid w:val="6CDB2BA3"/>
    <w:rsid w:val="6DA8745A"/>
    <w:rsid w:val="6E2E2151"/>
    <w:rsid w:val="70460641"/>
    <w:rsid w:val="70820965"/>
    <w:rsid w:val="711B771F"/>
    <w:rsid w:val="71400858"/>
    <w:rsid w:val="71752277"/>
    <w:rsid w:val="720632A0"/>
    <w:rsid w:val="7248108B"/>
    <w:rsid w:val="738A5A44"/>
    <w:rsid w:val="73BE778E"/>
    <w:rsid w:val="74614F7E"/>
    <w:rsid w:val="75D37152"/>
    <w:rsid w:val="7603212B"/>
    <w:rsid w:val="76453E99"/>
    <w:rsid w:val="76EB48E2"/>
    <w:rsid w:val="770E5AE1"/>
    <w:rsid w:val="777D7FD8"/>
    <w:rsid w:val="78010125"/>
    <w:rsid w:val="79DB277C"/>
    <w:rsid w:val="7A0A79F9"/>
    <w:rsid w:val="7A6207C4"/>
    <w:rsid w:val="7A9F41FF"/>
    <w:rsid w:val="7B1227F8"/>
    <w:rsid w:val="7B746AC1"/>
    <w:rsid w:val="7C372E28"/>
    <w:rsid w:val="7CE73678"/>
    <w:rsid w:val="7D890C83"/>
    <w:rsid w:val="7F22345D"/>
    <w:rsid w:val="7F467E08"/>
    <w:rsid w:val="7F590EFE"/>
    <w:rsid w:val="7F8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spacing w:before="340" w:after="330"/>
      <w:outlineLvl w:val="0"/>
    </w:pPr>
    <w:rPr>
      <w:rFonts w:ascii="华文细黑"/>
      <w:b/>
      <w:snapToGrid w:val="0"/>
      <w:sz w:val="28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sz w:val="36"/>
      <w:szCs w:val="32"/>
      <w:lang w:val="zh-C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annotation text"/>
    <w:basedOn w:val="1"/>
    <w:qFormat/>
    <w:uiPriority w:val="0"/>
  </w:style>
  <w:style w:type="paragraph" w:styleId="8">
    <w:name w:val="Body Text"/>
    <w:basedOn w:val="1"/>
    <w:next w:val="9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9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10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11">
    <w:name w:val="Plain Text"/>
    <w:basedOn w:val="1"/>
    <w:qFormat/>
    <w:uiPriority w:val="0"/>
    <w:rPr>
      <w:rFonts w:hAnsi="Courier New" w:cs="Courier New"/>
      <w:szCs w:val="21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5">
    <w:name w:val="Body Text First Indent 2"/>
    <w:basedOn w:val="10"/>
    <w:next w:val="1"/>
    <w:unhideWhenUsed/>
    <w:qFormat/>
    <w:uiPriority w:val="99"/>
    <w:pPr>
      <w:spacing w:after="120"/>
      <w:ind w:left="420" w:leftChars="200" w:firstLine="42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paragraph" w:customStyle="1" w:styleId="20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22">
    <w:name w:val="List Paragraph"/>
    <w:basedOn w:val="1"/>
    <w:link w:val="23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3">
    <w:name w:val="列表段落 字符"/>
    <w:link w:val="22"/>
    <w:qFormat/>
    <w:uiPriority w:val="0"/>
    <w:rPr>
      <w:kern w:val="2"/>
      <w:sz w:val="21"/>
    </w:rPr>
  </w:style>
  <w:style w:type="paragraph" w:customStyle="1" w:styleId="24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customStyle="1" w:styleId="25">
    <w:name w:val="样式2"/>
    <w:basedOn w:val="6"/>
    <w:next w:val="5"/>
    <w:qFormat/>
    <w:uiPriority w:val="0"/>
    <w:pPr>
      <w:tabs>
        <w:tab w:val="center" w:pos="4153"/>
        <w:tab w:val="right" w:pos="8306"/>
      </w:tabs>
      <w:snapToGrid/>
      <w:textAlignment w:val="baseline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1329</Words>
  <Characters>1355</Characters>
  <Lines>14</Lines>
  <Paragraphs>4</Paragraphs>
  <TotalTime>2</TotalTime>
  <ScaleCrop>false</ScaleCrop>
  <LinksUpToDate>false</LinksUpToDate>
  <CharactersWithSpaces>1370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Peterson。</cp:lastModifiedBy>
  <cp:lastPrinted>2025-12-01T00:57:00Z</cp:lastPrinted>
  <dcterms:modified xsi:type="dcterms:W3CDTF">2025-12-08T01:14:15Z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eyJoZGlkIjoiOGRmNzE3NGQxMzBkYTVkZDcwNjllNjUxYzYxNmM1MzMiLCJ1c2VySWQiOiIyMTI1MzEyMTMifQ==</vt:lpwstr>
  </property>
</Properties>
</file>