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5"/>
        <w:gridCol w:w="341"/>
        <w:gridCol w:w="6637"/>
        <w:gridCol w:w="51"/>
        <w:gridCol w:w="44"/>
      </w:tblGrid>
      <w:tr w14:paraId="6F2D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5" w:type="dxa"/>
          <w:trHeight w:val="90" w:hRule="atLeast"/>
        </w:trPr>
        <w:tc>
          <w:tcPr>
            <w:tcW w:w="8427" w:type="dxa"/>
            <w:gridSpan w:val="4"/>
            <w:tcBorders>
              <w:top w:val="nil"/>
              <w:left w:val="nil"/>
              <w:bottom w:val="nil"/>
              <w:right w:val="nil"/>
            </w:tcBorders>
            <w:shd w:val="clear" w:color="auto" w:fill="104B8D"/>
            <w:vAlign w:val="center"/>
          </w:tcPr>
          <w:p w14:paraId="6AB97A87">
            <w:pPr>
              <w:pStyle w:val="13"/>
              <w:keepNext w:val="0"/>
              <w:keepLines w:val="0"/>
              <w:pageBreakBefore w:val="0"/>
              <w:kinsoku/>
              <w:wordWrap/>
              <w:overflowPunct/>
              <w:topLinePunct w:val="0"/>
              <w:autoSpaceDE/>
              <w:autoSpaceDN/>
              <w:bidi w:val="0"/>
              <w:spacing w:line="560" w:lineRule="exact"/>
              <w:ind w:left="0" w:leftChars="0" w:firstLine="0" w:firstLineChars="0"/>
              <w:jc w:val="center"/>
              <w:rPr>
                <w:rFonts w:hint="eastAsia" w:asciiTheme="minorEastAsia" w:hAnsiTheme="minorEastAsia" w:eastAsiaTheme="minorEastAsia"/>
                <w:b/>
                <w:color w:val="FFFFFF" w:themeColor="background1"/>
                <w:sz w:val="20"/>
                <w:szCs w:val="20"/>
                <w14:textFill>
                  <w14:solidFill>
                    <w14:schemeClr w14:val="bg1"/>
                  </w14:solidFill>
                </w14:textFill>
              </w:rPr>
            </w:pPr>
            <w:r>
              <w:rPr>
                <w:rFonts w:hint="eastAsia" w:asciiTheme="minorEastAsia" w:hAnsiTheme="minorEastAsia" w:eastAsiaTheme="minorEastAsia"/>
                <w:b/>
                <w:color w:val="FFFFFF" w:themeColor="background1"/>
                <w:sz w:val="28"/>
                <w:szCs w:val="28"/>
                <w14:textFill>
                  <w14:solidFill>
                    <w14:schemeClr w14:val="bg1"/>
                  </w14:solidFill>
                </w14:textFill>
              </w:rPr>
              <w:t>第一</w:t>
            </w:r>
            <w:r>
              <w:rPr>
                <w:rFonts w:asciiTheme="minorEastAsia" w:hAnsiTheme="minorEastAsia" w:eastAsiaTheme="minorEastAsia"/>
                <w:b/>
                <w:color w:val="FFFFFF" w:themeColor="background1"/>
                <w:sz w:val="28"/>
                <w:szCs w:val="28"/>
                <w14:textFill>
                  <w14:solidFill>
                    <w14:schemeClr w14:val="bg1"/>
                  </w14:solidFill>
                </w14:textFill>
              </w:rPr>
              <w:t>部分</w:t>
            </w:r>
            <w:r>
              <w:rPr>
                <w:rFonts w:hint="eastAsia" w:asciiTheme="minorEastAsia" w:hAnsiTheme="minorEastAsia" w:eastAsiaTheme="minorEastAsia"/>
                <w:b/>
                <w:color w:val="FFFFFF" w:themeColor="background1"/>
                <w:sz w:val="28"/>
                <w:szCs w:val="28"/>
                <w14:textFill>
                  <w14:solidFill>
                    <w14:schemeClr w14:val="bg1"/>
                  </w14:solidFill>
                </w14:textFill>
              </w:rPr>
              <w:t xml:space="preserve"> 项目</w:t>
            </w:r>
            <w:r>
              <w:rPr>
                <w:rFonts w:asciiTheme="minorEastAsia" w:hAnsiTheme="minorEastAsia" w:eastAsiaTheme="minorEastAsia"/>
                <w:b/>
                <w:color w:val="FFFFFF" w:themeColor="background1"/>
                <w:sz w:val="28"/>
                <w:szCs w:val="28"/>
                <w14:textFill>
                  <w14:solidFill>
                    <w14:schemeClr w14:val="bg1"/>
                  </w14:solidFill>
                </w14:textFill>
              </w:rPr>
              <w:t>简介</w:t>
            </w:r>
          </w:p>
        </w:tc>
      </w:tr>
      <w:tr w14:paraId="7657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95" w:type="dxa"/>
          <w:trHeight w:val="793" w:hRule="atLeast"/>
        </w:trPr>
        <w:tc>
          <w:tcPr>
            <w:tcW w:w="8427" w:type="dxa"/>
            <w:gridSpan w:val="4"/>
            <w:tcBorders>
              <w:top w:val="nil"/>
              <w:left w:val="nil"/>
              <w:bottom w:val="nil"/>
              <w:right w:val="nil"/>
            </w:tcBorders>
          </w:tcPr>
          <w:p w14:paraId="444A3E80">
            <w:pPr>
              <w:pStyle w:val="13"/>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asciiTheme="minorEastAsia" w:hAnsiTheme="minorEastAsia" w:eastAsiaTheme="minorEastAsia"/>
                <w:sz w:val="20"/>
                <w:szCs w:val="20"/>
                <w:lang w:val="en-US" w:eastAsia="zh-CN"/>
              </w:rPr>
            </w:pPr>
            <w:r>
              <w:rPr>
                <w:rFonts w:hint="eastAsia" w:cs="Times New Roman" w:asciiTheme="minorEastAsia" w:hAnsiTheme="minorEastAsia" w:eastAsiaTheme="minorEastAsia"/>
                <w:sz w:val="20"/>
                <w:szCs w:val="20"/>
                <w:lang w:eastAsia="zh-CN"/>
              </w:rPr>
              <w:t>深圳市龙华环境有限公司主要经营城市道路清扫、保洁、垃圾收集分类、运输、处理及固体废物的治理；绿地养护、污水处理、环境监测及</w:t>
            </w:r>
            <w:r>
              <w:rPr>
                <w:rFonts w:hint="eastAsia" w:cs="Times New Roman" w:asciiTheme="minorEastAsia" w:hAnsiTheme="minorEastAsia" w:eastAsiaTheme="minorEastAsia"/>
                <w:color w:val="auto"/>
                <w:sz w:val="20"/>
                <w:szCs w:val="20"/>
                <w:lang w:eastAsia="zh-CN"/>
              </w:rPr>
              <w:t>治理等环卫业务。</w:t>
            </w:r>
            <w:r>
              <w:rPr>
                <w:rFonts w:hint="eastAsia" w:asciiTheme="minorEastAsia" w:hAnsiTheme="minorEastAsia" w:eastAsiaTheme="minorEastAsia"/>
                <w:color w:val="auto"/>
                <w:sz w:val="20"/>
                <w:szCs w:val="20"/>
                <w:lang w:eastAsia="zh-CN"/>
              </w:rPr>
              <w:t>为更全面转移风险，给公司员工提供福利保障，深圳市龙华环境有限公司拟为其员工</w:t>
            </w:r>
            <w:r>
              <w:rPr>
                <w:rFonts w:hint="default"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Hans"/>
              </w:rPr>
              <w:t>预计约</w:t>
            </w:r>
            <w:r>
              <w:rPr>
                <w:rFonts w:hint="eastAsia" w:asciiTheme="minorEastAsia" w:hAnsiTheme="minorEastAsia" w:eastAsiaTheme="minorEastAsia"/>
                <w:color w:val="auto"/>
                <w:sz w:val="20"/>
                <w:szCs w:val="20"/>
                <w:highlight w:val="none"/>
                <w:lang w:val="en-US" w:eastAsia="zh-CN"/>
              </w:rPr>
              <w:t>2069</w:t>
            </w:r>
            <w:r>
              <w:rPr>
                <w:rFonts w:hint="eastAsia" w:asciiTheme="minorEastAsia" w:hAnsiTheme="minorEastAsia" w:eastAsiaTheme="minorEastAsia"/>
                <w:color w:val="auto"/>
                <w:sz w:val="20"/>
                <w:szCs w:val="20"/>
                <w:lang w:val="en-US" w:eastAsia="zh-Hans"/>
              </w:rPr>
              <w:t>人</w:t>
            </w:r>
            <w:r>
              <w:rPr>
                <w:rFonts w:hint="eastAsia" w:asciiTheme="minorEastAsia" w:hAnsiTheme="minorEastAsia" w:eastAsiaTheme="minorEastAsia"/>
                <w:color w:val="auto"/>
                <w:sz w:val="20"/>
                <w:szCs w:val="20"/>
                <w:lang w:val="en-US" w:eastAsia="zh-CN"/>
              </w:rPr>
              <w:t>，以实际投保人数为准</w:t>
            </w:r>
            <w:r>
              <w:rPr>
                <w:rFonts w:hint="default" w:asciiTheme="minorEastAsia" w:hAnsiTheme="minorEastAsia" w:eastAsiaTheme="minorEastAsia"/>
                <w:color w:val="auto"/>
                <w:sz w:val="20"/>
                <w:szCs w:val="20"/>
                <w:lang w:eastAsia="zh-Hans"/>
              </w:rPr>
              <w:t>）</w:t>
            </w:r>
            <w:r>
              <w:rPr>
                <w:rFonts w:hint="eastAsia" w:asciiTheme="minorEastAsia" w:hAnsiTheme="minorEastAsia" w:eastAsiaTheme="minorEastAsia"/>
                <w:color w:val="auto"/>
                <w:sz w:val="20"/>
                <w:szCs w:val="20"/>
                <w:lang w:eastAsia="zh-CN"/>
              </w:rPr>
              <w:t>购买意外伤害保险，中标公司需提供承保、理赔等服务，并根据客户需求印制服务卡片。</w:t>
            </w:r>
          </w:p>
        </w:tc>
      </w:tr>
      <w:tr w14:paraId="0C06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522" w:type="dxa"/>
            <w:gridSpan w:val="6"/>
            <w:shd w:val="clear" w:color="auto" w:fill="104B8D"/>
            <w:vAlign w:val="center"/>
          </w:tcPr>
          <w:p w14:paraId="18BAF478">
            <w:pPr>
              <w:pStyle w:val="13"/>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eastAsiaTheme="minorEastAsia"/>
                <w:sz w:val="20"/>
                <w:szCs w:val="20"/>
              </w:rPr>
            </w:pPr>
            <w:r>
              <w:rPr>
                <w:rFonts w:hint="eastAsia" w:asciiTheme="minorEastAsia" w:hAnsiTheme="minorEastAsia" w:eastAsiaTheme="minorEastAsia"/>
                <w:b/>
                <w:color w:val="FFFFFF" w:themeColor="background1"/>
                <w:sz w:val="28"/>
                <w:szCs w:val="28"/>
                <w14:textFill>
                  <w14:solidFill>
                    <w14:schemeClr w14:val="bg1"/>
                  </w14:solidFill>
                </w14:textFill>
              </w:rPr>
              <w:t>第二</w:t>
            </w:r>
            <w:r>
              <w:rPr>
                <w:rFonts w:asciiTheme="minorEastAsia" w:hAnsiTheme="minorEastAsia" w:eastAsiaTheme="minorEastAsia"/>
                <w:b/>
                <w:color w:val="FFFFFF" w:themeColor="background1"/>
                <w:sz w:val="28"/>
                <w:szCs w:val="28"/>
                <w14:textFill>
                  <w14:solidFill>
                    <w14:schemeClr w14:val="bg1"/>
                  </w14:solidFill>
                </w14:textFill>
              </w:rPr>
              <w:t>部分</w:t>
            </w:r>
            <w:r>
              <w:rPr>
                <w:rFonts w:hint="eastAsia" w:asciiTheme="minorEastAsia" w:hAnsiTheme="minorEastAsia" w:eastAsiaTheme="minorEastAsia"/>
                <w:b/>
                <w:color w:val="FFFFFF" w:themeColor="background1"/>
                <w:sz w:val="28"/>
                <w:szCs w:val="28"/>
                <w14:textFill>
                  <w14:solidFill>
                    <w14:schemeClr w14:val="bg1"/>
                  </w14:solidFill>
                </w14:textFill>
              </w:rPr>
              <w:t xml:space="preserve"> 被保险人及一般信息</w:t>
            </w:r>
          </w:p>
        </w:tc>
      </w:tr>
      <w:tr w14:paraId="1EC8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4" w:type="dxa"/>
          </w:tcPr>
          <w:p w14:paraId="67F8A8FC">
            <w:pPr>
              <w:pStyle w:val="13"/>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投保人</w:t>
            </w:r>
          </w:p>
        </w:tc>
        <w:tc>
          <w:tcPr>
            <w:tcW w:w="416" w:type="dxa"/>
            <w:gridSpan w:val="2"/>
          </w:tcPr>
          <w:p w14:paraId="6E11BE81">
            <w:pPr>
              <w:pStyle w:val="13"/>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w:t>
            </w:r>
          </w:p>
        </w:tc>
        <w:tc>
          <w:tcPr>
            <w:tcW w:w="6732" w:type="dxa"/>
            <w:gridSpan w:val="3"/>
          </w:tcPr>
          <w:p w14:paraId="749AB7AD">
            <w:pPr>
              <w:pStyle w:val="13"/>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深圳市龙华环境有限公司</w:t>
            </w:r>
          </w:p>
        </w:tc>
      </w:tr>
      <w:tr w14:paraId="3D21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4" w:type="dxa"/>
          </w:tcPr>
          <w:p w14:paraId="4EEC19A7">
            <w:pPr>
              <w:pStyle w:val="13"/>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被保险人</w:t>
            </w:r>
          </w:p>
        </w:tc>
        <w:tc>
          <w:tcPr>
            <w:tcW w:w="416" w:type="dxa"/>
            <w:gridSpan w:val="2"/>
          </w:tcPr>
          <w:p w14:paraId="5D9468EB">
            <w:pPr>
              <w:pStyle w:val="13"/>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w:t>
            </w:r>
          </w:p>
        </w:tc>
        <w:tc>
          <w:tcPr>
            <w:tcW w:w="6732" w:type="dxa"/>
            <w:gridSpan w:val="3"/>
          </w:tcPr>
          <w:p w14:paraId="4F4ED1AF">
            <w:pPr>
              <w:pStyle w:val="13"/>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深圳市龙华环境有限公司员工</w:t>
            </w:r>
          </w:p>
        </w:tc>
      </w:tr>
      <w:tr w14:paraId="7BA5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4" w:type="dxa"/>
          </w:tcPr>
          <w:p w14:paraId="62D33499">
            <w:pPr>
              <w:pStyle w:val="13"/>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sz w:val="20"/>
                <w:szCs w:val="20"/>
              </w:rPr>
            </w:pPr>
            <w:r>
              <w:rPr>
                <w:rFonts w:hint="eastAsia" w:asciiTheme="minorEastAsia" w:hAnsiTheme="minorEastAsia" w:eastAsiaTheme="minorEastAsia"/>
                <w:sz w:val="20"/>
                <w:szCs w:val="20"/>
                <w:lang w:eastAsia="zh-CN"/>
              </w:rPr>
              <w:t>经营性质</w:t>
            </w:r>
          </w:p>
        </w:tc>
        <w:tc>
          <w:tcPr>
            <w:tcW w:w="416" w:type="dxa"/>
            <w:gridSpan w:val="2"/>
          </w:tcPr>
          <w:p w14:paraId="35E9319A">
            <w:pPr>
              <w:pStyle w:val="13"/>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sz w:val="20"/>
                <w:szCs w:val="20"/>
              </w:rPr>
            </w:pPr>
            <w:r>
              <w:rPr>
                <w:rFonts w:hint="eastAsia" w:asciiTheme="minorEastAsia" w:hAnsiTheme="minorEastAsia" w:eastAsiaTheme="minorEastAsia"/>
                <w:sz w:val="20"/>
                <w:szCs w:val="20"/>
                <w:lang w:eastAsia="zh-CN"/>
              </w:rPr>
              <w:t>：</w:t>
            </w:r>
          </w:p>
        </w:tc>
        <w:tc>
          <w:tcPr>
            <w:tcW w:w="6732" w:type="dxa"/>
            <w:gridSpan w:val="3"/>
          </w:tcPr>
          <w:p w14:paraId="7985D3B0">
            <w:pPr>
              <w:pStyle w:val="13"/>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公共设施管理业</w:t>
            </w:r>
          </w:p>
        </w:tc>
      </w:tr>
      <w:tr w14:paraId="2B11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4" w:type="dxa"/>
          </w:tcPr>
          <w:p w14:paraId="65DA36DF">
            <w:pPr>
              <w:pStyle w:val="13"/>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地址</w:t>
            </w:r>
          </w:p>
        </w:tc>
        <w:tc>
          <w:tcPr>
            <w:tcW w:w="416" w:type="dxa"/>
            <w:gridSpan w:val="2"/>
          </w:tcPr>
          <w:p w14:paraId="1E52E221">
            <w:pPr>
              <w:pStyle w:val="13"/>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w:t>
            </w:r>
          </w:p>
        </w:tc>
        <w:tc>
          <w:tcPr>
            <w:tcW w:w="6732" w:type="dxa"/>
            <w:gridSpan w:val="3"/>
          </w:tcPr>
          <w:p w14:paraId="30CFB07D">
            <w:pPr>
              <w:pStyle w:val="13"/>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rPr>
              <w:t>深圳市龙华区观湖街道观盛三路龙华建设大厦15楼</w:t>
            </w:r>
          </w:p>
        </w:tc>
      </w:tr>
      <w:tr w14:paraId="6B3F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568" w:hRule="atLeast"/>
        </w:trPr>
        <w:tc>
          <w:tcPr>
            <w:tcW w:w="8478" w:type="dxa"/>
            <w:gridSpan w:val="5"/>
            <w:shd w:val="clear" w:color="auto" w:fill="104B8D"/>
            <w:vAlign w:val="center"/>
          </w:tcPr>
          <w:p w14:paraId="718F43D1">
            <w:pPr>
              <w:pStyle w:val="13"/>
              <w:keepNext w:val="0"/>
              <w:keepLines w:val="0"/>
              <w:pageBreakBefore w:val="0"/>
              <w:kinsoku/>
              <w:wordWrap/>
              <w:overflowPunct/>
              <w:topLinePunct w:val="0"/>
              <w:autoSpaceDE/>
              <w:autoSpaceDN/>
              <w:bidi w:val="0"/>
              <w:adjustRightInd/>
              <w:snapToGrid/>
              <w:spacing w:line="240" w:lineRule="auto"/>
              <w:ind w:firstLine="0" w:firstLineChars="0"/>
              <w:jc w:val="center"/>
              <w:rPr>
                <w:rFonts w:asciiTheme="minorEastAsia" w:hAnsiTheme="minorEastAsia" w:eastAsiaTheme="minorEastAsia"/>
                <w:color w:val="104B8D"/>
                <w:sz w:val="20"/>
                <w:szCs w:val="20"/>
              </w:rPr>
            </w:pPr>
            <w:r>
              <w:rPr>
                <w:rFonts w:hint="eastAsia" w:cs="Times New Roman" w:asciiTheme="minorEastAsia" w:hAnsiTheme="minorEastAsia" w:eastAsiaTheme="minorEastAsia"/>
                <w:b/>
                <w:color w:val="FFFFFF" w:themeColor="background1"/>
                <w:sz w:val="28"/>
                <w:szCs w:val="28"/>
                <w14:textFill>
                  <w14:solidFill>
                    <w14:schemeClr w14:val="bg1"/>
                  </w14:solidFill>
                </w14:textFill>
              </w:rPr>
              <w:t>第</w:t>
            </w:r>
            <w:r>
              <w:rPr>
                <w:rFonts w:hint="eastAsia" w:cs="Times New Roman" w:asciiTheme="minorEastAsia" w:hAnsiTheme="minorEastAsia" w:eastAsiaTheme="minorEastAsia"/>
                <w:b/>
                <w:color w:val="FFFFFF" w:themeColor="background1"/>
                <w:sz w:val="28"/>
                <w:szCs w:val="28"/>
                <w:lang w:eastAsia="zh-CN"/>
                <w14:textFill>
                  <w14:solidFill>
                    <w14:schemeClr w14:val="bg1"/>
                  </w14:solidFill>
                </w14:textFill>
              </w:rPr>
              <w:t>三</w:t>
            </w:r>
            <w:r>
              <w:rPr>
                <w:rFonts w:hint="eastAsia" w:cs="Times New Roman" w:asciiTheme="minorEastAsia" w:hAnsiTheme="minorEastAsia" w:eastAsiaTheme="minorEastAsia"/>
                <w:b/>
                <w:color w:val="FFFFFF" w:themeColor="background1"/>
                <w:sz w:val="28"/>
                <w:szCs w:val="28"/>
                <w14:textFill>
                  <w14:solidFill>
                    <w14:schemeClr w14:val="bg1"/>
                  </w14:solidFill>
                </w14:textFill>
              </w:rPr>
              <w:t>部分 保险方案</w:t>
            </w:r>
          </w:p>
        </w:tc>
      </w:tr>
      <w:tr w14:paraId="3934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22" w:type="dxa"/>
            <w:gridSpan w:val="6"/>
            <w:shd w:val="clear" w:color="auto" w:fill="auto"/>
            <w:vAlign w:val="center"/>
          </w:tcPr>
          <w:p w14:paraId="5D0727F3">
            <w:pPr>
              <w:pStyle w:val="14"/>
              <w:spacing w:line="360" w:lineRule="exact"/>
              <w:ind w:firstLine="0" w:firstLineChars="0"/>
              <w:jc w:val="left"/>
              <w:rPr>
                <w:rFonts w:asciiTheme="minorEastAsia" w:hAnsiTheme="minorEastAsia" w:eastAsiaTheme="minorEastAsia"/>
                <w:sz w:val="20"/>
                <w:szCs w:val="20"/>
              </w:rPr>
            </w:pPr>
            <w:r>
              <w:rPr>
                <w:rFonts w:hint="eastAsia" w:asciiTheme="minorEastAsia" w:hAnsiTheme="minorEastAsia" w:eastAsiaTheme="minorEastAsia"/>
                <w:b/>
                <w:color w:val="104B8D"/>
                <w:sz w:val="28"/>
                <w:szCs w:val="44"/>
                <w:u w:val="single"/>
                <w14:shadow w14:blurRad="50800" w14:dist="38100" w14:dir="2700000" w14:sx="100000" w14:sy="100000" w14:kx="0" w14:ky="0" w14:algn="tl">
                  <w14:srgbClr w14:val="000000">
                    <w14:alpha w14:val="60000"/>
                  </w14:srgbClr>
                </w14:shadow>
              </w:rPr>
              <w:t>团体</w:t>
            </w:r>
            <w:r>
              <w:rPr>
                <w:rFonts w:asciiTheme="minorEastAsia" w:hAnsiTheme="minorEastAsia" w:eastAsiaTheme="minorEastAsia"/>
                <w:b/>
                <w:color w:val="104B8D"/>
                <w:sz w:val="28"/>
                <w:szCs w:val="44"/>
                <w:u w:val="single"/>
                <w14:shadow w14:blurRad="50800" w14:dist="38100" w14:dir="2700000" w14:sx="100000" w14:sy="100000" w14:kx="0" w14:ky="0" w14:algn="tl">
                  <w14:srgbClr w14:val="000000">
                    <w14:alpha w14:val="60000"/>
                  </w14:srgbClr>
                </w14:shadow>
              </w:rPr>
              <w:t>人身意外伤害保</w:t>
            </w:r>
            <w:r>
              <w:rPr>
                <w:rFonts w:hint="eastAsia" w:asciiTheme="minorEastAsia" w:hAnsiTheme="minorEastAsia" w:eastAsiaTheme="minorEastAsia"/>
                <w:b/>
                <w:color w:val="104B8D"/>
                <w:sz w:val="28"/>
                <w:szCs w:val="44"/>
                <w:u w:val="single"/>
                <w14:shadow w14:blurRad="50800" w14:dist="38100" w14:dir="2700000" w14:sx="100000" w14:sy="100000" w14:kx="0" w14:ky="0" w14:algn="tl">
                  <w14:srgbClr w14:val="000000">
                    <w14:alpha w14:val="60000"/>
                  </w14:srgbClr>
                </w14:shadow>
              </w:rPr>
              <w:t>险</w:t>
            </w:r>
          </w:p>
        </w:tc>
      </w:tr>
      <w:tr w14:paraId="3AE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449" w:type="dxa"/>
            <w:gridSpan w:val="2"/>
            <w:shd w:val="clear" w:color="auto" w:fill="auto"/>
            <w:vAlign w:val="top"/>
          </w:tcPr>
          <w:p w14:paraId="4FD130DD">
            <w:pPr>
              <w:pStyle w:val="14"/>
              <w:spacing w:line="360" w:lineRule="exact"/>
              <w:ind w:firstLine="0" w:firstLineChars="0"/>
              <w:rPr>
                <w:rFonts w:asciiTheme="minorEastAsia" w:hAnsiTheme="minorEastAsia" w:eastAsiaTheme="minorEastAsia"/>
                <w:b/>
                <w:sz w:val="20"/>
                <w:szCs w:val="20"/>
              </w:rPr>
            </w:pPr>
            <w:r>
              <w:rPr>
                <w:rFonts w:hint="eastAsia" w:asciiTheme="minorEastAsia" w:hAnsiTheme="minorEastAsia" w:eastAsiaTheme="minorEastAsia"/>
                <w:b/>
                <w:sz w:val="20"/>
                <w:szCs w:val="20"/>
              </w:rPr>
              <w:t>员工</w:t>
            </w:r>
            <w:r>
              <w:rPr>
                <w:rFonts w:asciiTheme="minorEastAsia" w:hAnsiTheme="minorEastAsia" w:eastAsiaTheme="minorEastAsia"/>
                <w:b/>
                <w:sz w:val="20"/>
                <w:szCs w:val="20"/>
              </w:rPr>
              <w:t>资料</w:t>
            </w:r>
          </w:p>
        </w:tc>
        <w:tc>
          <w:tcPr>
            <w:tcW w:w="7073" w:type="dxa"/>
            <w:gridSpan w:val="4"/>
            <w:shd w:val="clear" w:color="auto" w:fill="auto"/>
            <w:vAlign w:val="top"/>
          </w:tcPr>
          <w:p w14:paraId="24F05F07">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工种：</w:t>
            </w:r>
          </w:p>
          <w:tbl>
            <w:tblPr>
              <w:tblStyle w:val="11"/>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2900"/>
            </w:tblGrid>
            <w:tr w14:paraId="1F49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499" w:type="pct"/>
                  <w:vAlign w:val="center"/>
                </w:tcPr>
                <w:p w14:paraId="362C4AB5">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工种</w:t>
                  </w:r>
                </w:p>
              </w:tc>
              <w:tc>
                <w:tcPr>
                  <w:tcW w:w="2500" w:type="pct"/>
                  <w:vAlign w:val="center"/>
                </w:tcPr>
                <w:p w14:paraId="324006B7">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人数</w:t>
                  </w:r>
                </w:p>
              </w:tc>
            </w:tr>
            <w:tr w14:paraId="5D5E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499" w:type="pct"/>
                  <w:vAlign w:val="center"/>
                </w:tcPr>
                <w:p w14:paraId="1B2BCDAA">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管理人员</w:t>
                  </w:r>
                </w:p>
              </w:tc>
              <w:tc>
                <w:tcPr>
                  <w:tcW w:w="2500" w:type="pct"/>
                  <w:vAlign w:val="center"/>
                </w:tcPr>
                <w:p w14:paraId="240FF8F7">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asciiTheme="minorEastAsia" w:hAnsiTheme="minorEastAsia" w:eastAsiaTheme="minorEastAsia"/>
                      <w:color w:val="auto"/>
                      <w:sz w:val="20"/>
                      <w:szCs w:val="20"/>
                      <w:highlight w:val="none"/>
                      <w:u w:val="single"/>
                    </w:rPr>
                  </w:pPr>
                  <w:r>
                    <w:rPr>
                      <w:rFonts w:hint="eastAsia" w:asciiTheme="minorEastAsia" w:hAnsiTheme="minorEastAsia" w:eastAsiaTheme="minorEastAsia"/>
                      <w:color w:val="auto"/>
                      <w:sz w:val="20"/>
                      <w:szCs w:val="20"/>
                      <w:highlight w:val="none"/>
                      <w:lang w:val="en-US" w:eastAsia="zh-CN"/>
                    </w:rPr>
                    <w:t>69</w:t>
                  </w:r>
                  <w:r>
                    <w:rPr>
                      <w:rFonts w:hint="eastAsia" w:asciiTheme="minorEastAsia" w:hAnsiTheme="minorEastAsia" w:eastAsiaTheme="minorEastAsia"/>
                      <w:color w:val="auto"/>
                      <w:sz w:val="20"/>
                      <w:szCs w:val="20"/>
                      <w:highlight w:val="none"/>
                    </w:rPr>
                    <w:t>人</w:t>
                  </w:r>
                </w:p>
              </w:tc>
            </w:tr>
            <w:tr w14:paraId="4FDF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499" w:type="pct"/>
                  <w:vAlign w:val="center"/>
                </w:tcPr>
                <w:p w14:paraId="54E96D3A">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Theme="minorEastAsia" w:hAnsiTheme="minorEastAsia" w:eastAsiaTheme="minorEastAsia"/>
                      <w:color w:val="auto"/>
                      <w:sz w:val="20"/>
                      <w:szCs w:val="20"/>
                      <w:lang w:eastAsia="zh-CN"/>
                    </w:rPr>
                  </w:pPr>
                  <w:r>
                    <w:rPr>
                      <w:rFonts w:hint="eastAsia" w:asciiTheme="minorEastAsia" w:hAnsiTheme="minorEastAsia" w:eastAsiaTheme="minorEastAsia"/>
                      <w:color w:val="auto"/>
                      <w:sz w:val="20"/>
                      <w:szCs w:val="20"/>
                      <w:lang w:val="en-US" w:eastAsia="zh-CN"/>
                    </w:rPr>
                    <w:t>大浪项目</w:t>
                  </w:r>
                </w:p>
              </w:tc>
              <w:tc>
                <w:tcPr>
                  <w:tcW w:w="2500" w:type="pct"/>
                  <w:vAlign w:val="center"/>
                </w:tcPr>
                <w:p w14:paraId="1115DBAD">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heme="minorEastAsia" w:hAnsiTheme="minorEastAsia" w:eastAsiaTheme="minorEastAsia"/>
                      <w:color w:val="auto"/>
                      <w:sz w:val="20"/>
                      <w:szCs w:val="20"/>
                      <w:highlight w:val="none"/>
                      <w:lang w:val="en-US" w:eastAsia="zh-CN"/>
                    </w:rPr>
                  </w:pPr>
                  <w:r>
                    <w:rPr>
                      <w:rFonts w:hint="eastAsia" w:asciiTheme="minorEastAsia" w:hAnsiTheme="minorEastAsia" w:eastAsiaTheme="minorEastAsia"/>
                      <w:color w:val="auto"/>
                      <w:sz w:val="20"/>
                      <w:szCs w:val="20"/>
                      <w:highlight w:val="none"/>
                      <w:lang w:val="en-US" w:eastAsia="zh-CN"/>
                    </w:rPr>
                    <w:t>1000人</w:t>
                  </w:r>
                </w:p>
              </w:tc>
            </w:tr>
            <w:tr w14:paraId="36B2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499" w:type="pct"/>
                  <w:vAlign w:val="center"/>
                </w:tcPr>
                <w:p w14:paraId="36A72B65">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heme="minorEastAsia" w:hAnsiTheme="minorEastAsia" w:eastAsiaTheme="minorEastAsia"/>
                      <w:color w:val="auto"/>
                      <w:sz w:val="20"/>
                      <w:szCs w:val="20"/>
                      <w:lang w:val="en-US" w:eastAsia="zh-CN"/>
                    </w:rPr>
                  </w:pPr>
                  <w:r>
                    <w:rPr>
                      <w:rFonts w:hint="eastAsia" w:asciiTheme="minorEastAsia" w:hAnsiTheme="minorEastAsia" w:eastAsiaTheme="minorEastAsia"/>
                      <w:color w:val="auto"/>
                      <w:sz w:val="20"/>
                      <w:szCs w:val="20"/>
                      <w:lang w:val="en-US" w:eastAsia="zh-CN"/>
                    </w:rPr>
                    <w:t>龙华项目</w:t>
                  </w:r>
                </w:p>
              </w:tc>
              <w:tc>
                <w:tcPr>
                  <w:tcW w:w="2500" w:type="pct"/>
                  <w:vAlign w:val="center"/>
                </w:tcPr>
                <w:p w14:paraId="2BE33A28">
                  <w:pPr>
                    <w:pStyle w:val="14"/>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default" w:asciiTheme="minorEastAsia" w:hAnsiTheme="minorEastAsia" w:eastAsiaTheme="minorEastAsia"/>
                      <w:color w:val="auto"/>
                      <w:sz w:val="20"/>
                      <w:szCs w:val="20"/>
                      <w:highlight w:val="none"/>
                      <w:lang w:val="en-US" w:eastAsia="zh-CN"/>
                    </w:rPr>
                  </w:pPr>
                  <w:r>
                    <w:rPr>
                      <w:rFonts w:hint="eastAsia" w:asciiTheme="minorEastAsia" w:hAnsiTheme="minorEastAsia" w:eastAsiaTheme="minorEastAsia"/>
                      <w:color w:val="auto"/>
                      <w:sz w:val="20"/>
                      <w:szCs w:val="20"/>
                      <w:highlight w:val="none"/>
                      <w:lang w:val="en-US" w:eastAsia="zh-CN"/>
                    </w:rPr>
                    <w:t>10</w:t>
                  </w:r>
                  <w:r>
                    <w:rPr>
                      <w:rFonts w:hint="default" w:asciiTheme="minorEastAsia" w:hAnsiTheme="minorEastAsia" w:eastAsiaTheme="minorEastAsia"/>
                      <w:color w:val="auto"/>
                      <w:sz w:val="20"/>
                      <w:szCs w:val="20"/>
                      <w:highlight w:val="none"/>
                      <w:lang w:eastAsia="zh-CN"/>
                    </w:rPr>
                    <w:t>0</w:t>
                  </w:r>
                  <w:r>
                    <w:rPr>
                      <w:rFonts w:hint="eastAsia" w:asciiTheme="minorEastAsia" w:hAnsiTheme="minorEastAsia" w:eastAsiaTheme="minorEastAsia"/>
                      <w:color w:val="auto"/>
                      <w:sz w:val="20"/>
                      <w:szCs w:val="20"/>
                      <w:highlight w:val="none"/>
                      <w:lang w:val="en-US" w:eastAsia="zh-CN"/>
                    </w:rPr>
                    <w:t>0人</w:t>
                  </w:r>
                </w:p>
              </w:tc>
            </w:tr>
          </w:tbl>
          <w:p w14:paraId="7DD2D3AB">
            <w:pPr>
              <w:pStyle w:val="6"/>
              <w:numPr>
                <w:ilvl w:val="0"/>
                <w:numId w:val="0"/>
              </w:numPr>
              <w:rPr>
                <w:rFonts w:hint="eastAsia"/>
                <w:lang w:val="en-US" w:eastAsia="zh-CN"/>
              </w:rPr>
            </w:pPr>
          </w:p>
          <w:p w14:paraId="40B8EB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2.年龄</w:t>
            </w:r>
          </w:p>
          <w:tbl>
            <w:tblPr>
              <w:tblStyle w:val="10"/>
              <w:tblW w:w="4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7"/>
              <w:gridCol w:w="971"/>
              <w:gridCol w:w="893"/>
              <w:gridCol w:w="898"/>
            </w:tblGrid>
            <w:tr w14:paraId="69E2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297" w:type="dxa"/>
                  <w:vMerge w:val="restart"/>
                  <w:tcBorders>
                    <w:top w:val="single" w:color="auto" w:sz="4" w:space="0"/>
                    <w:left w:val="single" w:color="auto" w:sz="0" w:space="0"/>
                    <w:bottom w:val="single" w:color="auto" w:sz="4" w:space="0"/>
                    <w:right w:val="single" w:color="auto" w:sz="4" w:space="0"/>
                  </w:tcBorders>
                  <w:shd w:val="clear" w:color="auto" w:fill="auto"/>
                  <w:noWrap/>
                  <w:vAlign w:val="center"/>
                </w:tcPr>
                <w:p w14:paraId="451CBC32">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年龄</w:t>
                  </w:r>
                  <w:r>
                    <w:rPr>
                      <w:rFonts w:hint="eastAsia" w:ascii="宋体" w:hAnsi="宋体" w:cs="宋体"/>
                      <w:b/>
                      <w:bCs/>
                      <w:i w:val="0"/>
                      <w:iCs w:val="0"/>
                      <w:color w:val="000000"/>
                      <w:kern w:val="0"/>
                      <w:sz w:val="20"/>
                      <w:szCs w:val="20"/>
                      <w:u w:val="none"/>
                      <w:lang w:val="en-US" w:eastAsia="zh-CN" w:bidi="ar"/>
                    </w:rPr>
                    <w:t>（岁）</w:t>
                  </w:r>
                </w:p>
              </w:tc>
              <w:tc>
                <w:tcPr>
                  <w:tcW w:w="276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87309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人数</w:t>
                  </w:r>
                </w:p>
              </w:tc>
            </w:tr>
            <w:tr w14:paraId="5C1F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F39B3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A8579">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男</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D6022">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女</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FC21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合计</w:t>
                  </w:r>
                </w:p>
              </w:tc>
            </w:tr>
            <w:tr w14:paraId="3D68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9FA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20-29</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9029E">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51</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774A7">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0800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91</w:t>
                  </w:r>
                </w:p>
              </w:tc>
            </w:tr>
            <w:tr w14:paraId="65B5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383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30-39</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68E0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156</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3912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97</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A2557">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253</w:t>
                  </w:r>
                </w:p>
              </w:tc>
            </w:tr>
            <w:tr w14:paraId="6A38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953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40-49</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7B89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197</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AAB49">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82</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D9D1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279</w:t>
                  </w:r>
                </w:p>
              </w:tc>
            </w:tr>
            <w:tr w14:paraId="49C5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FBE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50-59</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EC62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580</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A3DD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462</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90B79">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1042</w:t>
                  </w:r>
                </w:p>
              </w:tc>
            </w:tr>
            <w:tr w14:paraId="24D1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A9E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60-64</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6EB1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281</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2654A">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110</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70A69">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391</w:t>
                  </w:r>
                </w:p>
              </w:tc>
            </w:tr>
            <w:tr w14:paraId="01EC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308DE">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65及以上</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21F2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10</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3968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32400">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13</w:t>
                  </w:r>
                </w:p>
              </w:tc>
            </w:tr>
            <w:tr w14:paraId="1AD9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1297" w:type="dxa"/>
                  <w:tcBorders>
                    <w:top w:val="single" w:color="auto" w:sz="4" w:space="0"/>
                    <w:left w:val="single" w:color="auto" w:sz="4" w:space="0"/>
                    <w:bottom w:val="single" w:color="auto" w:sz="4" w:space="0"/>
                    <w:right w:val="single" w:color="auto" w:sz="4" w:space="0"/>
                  </w:tcBorders>
                  <w:shd w:val="clear" w:color="D9E1F4" w:fill="auto"/>
                  <w:noWrap/>
                  <w:vAlign w:val="center"/>
                </w:tcPr>
                <w:p w14:paraId="15D8DE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971" w:type="dxa"/>
                  <w:tcBorders>
                    <w:top w:val="single" w:color="auto" w:sz="4" w:space="0"/>
                    <w:left w:val="single" w:color="auto" w:sz="4" w:space="0"/>
                    <w:bottom w:val="single" w:color="auto" w:sz="4" w:space="0"/>
                    <w:right w:val="single" w:color="auto" w:sz="4" w:space="0"/>
                  </w:tcBorders>
                  <w:shd w:val="clear" w:color="D9E1F4" w:fill="auto"/>
                  <w:noWrap/>
                  <w:vAlign w:val="center"/>
                </w:tcPr>
                <w:p w14:paraId="0268F7E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1275</w:t>
                  </w:r>
                </w:p>
              </w:tc>
              <w:tc>
                <w:tcPr>
                  <w:tcW w:w="893" w:type="dxa"/>
                  <w:tcBorders>
                    <w:top w:val="single" w:color="auto" w:sz="4" w:space="0"/>
                    <w:left w:val="single" w:color="auto" w:sz="4" w:space="0"/>
                    <w:bottom w:val="single" w:color="auto" w:sz="4" w:space="0"/>
                    <w:right w:val="single" w:color="auto" w:sz="4" w:space="0"/>
                  </w:tcBorders>
                  <w:shd w:val="clear" w:color="D9E1F4" w:fill="auto"/>
                  <w:noWrap/>
                  <w:vAlign w:val="center"/>
                </w:tcPr>
                <w:p w14:paraId="5154963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794</w:t>
                  </w:r>
                </w:p>
              </w:tc>
              <w:tc>
                <w:tcPr>
                  <w:tcW w:w="898" w:type="dxa"/>
                  <w:tcBorders>
                    <w:top w:val="single" w:color="auto" w:sz="4" w:space="0"/>
                    <w:left w:val="single" w:color="auto" w:sz="4" w:space="0"/>
                    <w:bottom w:val="single" w:color="auto" w:sz="4" w:space="0"/>
                    <w:right w:val="single" w:color="auto" w:sz="4" w:space="0"/>
                  </w:tcBorders>
                  <w:shd w:val="clear" w:color="D9E1F4" w:fill="auto"/>
                  <w:noWrap/>
                  <w:vAlign w:val="center"/>
                </w:tcPr>
                <w:p w14:paraId="776F504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2069</w:t>
                  </w:r>
                </w:p>
              </w:tc>
            </w:tr>
          </w:tbl>
          <w:p w14:paraId="44A681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Theme="minorEastAsia" w:hAnsiTheme="minorEastAsia" w:eastAsiaTheme="minorEastAsia"/>
                <w:sz w:val="20"/>
                <w:szCs w:val="20"/>
                <w:lang w:val="en-US" w:eastAsia="zh-Hans"/>
              </w:rPr>
            </w:pPr>
            <w:r>
              <w:rPr>
                <w:rFonts w:hint="eastAsia" w:asciiTheme="minorEastAsia" w:hAnsiTheme="minorEastAsia" w:eastAsiaTheme="minorEastAsia"/>
                <w:color w:val="auto"/>
                <w:sz w:val="20"/>
                <w:szCs w:val="20"/>
                <w:lang w:val="en-US" w:eastAsia="zh-Hans"/>
              </w:rPr>
              <w:t>以上为预计人数</w:t>
            </w:r>
            <w:r>
              <w:rPr>
                <w:rFonts w:hint="default" w:asciiTheme="minorEastAsia" w:hAnsiTheme="minorEastAsia" w:eastAsiaTheme="minorEastAsia"/>
                <w:color w:val="auto"/>
                <w:sz w:val="20"/>
                <w:szCs w:val="20"/>
                <w:lang w:eastAsia="zh-Hans"/>
              </w:rPr>
              <w:t>，</w:t>
            </w:r>
            <w:r>
              <w:rPr>
                <w:rFonts w:hint="eastAsia" w:asciiTheme="minorEastAsia" w:hAnsiTheme="minorEastAsia" w:eastAsiaTheme="minorEastAsia"/>
                <w:color w:val="auto"/>
                <w:sz w:val="20"/>
                <w:szCs w:val="20"/>
                <w:lang w:val="en-US" w:eastAsia="zh-Hans"/>
              </w:rPr>
              <w:t>具体以实际出单为准</w:t>
            </w:r>
            <w:r>
              <w:rPr>
                <w:rFonts w:hint="default" w:asciiTheme="minorEastAsia" w:hAnsiTheme="minorEastAsia" w:eastAsiaTheme="minorEastAsia"/>
                <w:color w:val="auto"/>
                <w:sz w:val="20"/>
                <w:szCs w:val="20"/>
                <w:lang w:eastAsia="zh-Hans"/>
              </w:rPr>
              <w:t>。</w:t>
            </w:r>
          </w:p>
        </w:tc>
      </w:tr>
      <w:tr w14:paraId="475C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1449" w:type="dxa"/>
            <w:gridSpan w:val="2"/>
            <w:shd w:val="clear" w:color="auto" w:fill="auto"/>
          </w:tcPr>
          <w:p w14:paraId="0D04AF05">
            <w:pPr>
              <w:pStyle w:val="14"/>
              <w:spacing w:line="360" w:lineRule="exact"/>
              <w:ind w:firstLine="0" w:firstLineChars="0"/>
              <w:rPr>
                <w:rFonts w:asciiTheme="minorEastAsia" w:hAnsiTheme="minorEastAsia" w:eastAsiaTheme="minorEastAsia"/>
                <w:b/>
                <w:sz w:val="20"/>
                <w:szCs w:val="20"/>
              </w:rPr>
            </w:pPr>
            <w:r>
              <w:rPr>
                <w:rFonts w:hint="eastAsia" w:asciiTheme="minorEastAsia" w:hAnsiTheme="minorEastAsia" w:eastAsiaTheme="minorEastAsia"/>
                <w:b/>
                <w:sz w:val="20"/>
                <w:szCs w:val="20"/>
              </w:rPr>
              <w:t>保障项目</w:t>
            </w:r>
            <w:r>
              <w:rPr>
                <w:rFonts w:asciiTheme="minorEastAsia" w:hAnsiTheme="minorEastAsia" w:eastAsiaTheme="minorEastAsia"/>
                <w:b/>
                <w:sz w:val="20"/>
                <w:szCs w:val="20"/>
              </w:rPr>
              <w:t>及保障责任</w:t>
            </w:r>
          </w:p>
        </w:tc>
        <w:tc>
          <w:tcPr>
            <w:tcW w:w="7073" w:type="dxa"/>
            <w:gridSpan w:val="4"/>
            <w:shd w:val="clear" w:color="auto" w:fill="auto"/>
          </w:tcPr>
          <w:p w14:paraId="3C2A1E9A">
            <w:pPr>
              <w:widowControl w:val="0"/>
              <w:numPr>
                <w:ilvl w:val="0"/>
                <w:numId w:val="0"/>
              </w:numPr>
              <w:spacing w:line="360" w:lineRule="exact"/>
              <w:ind w:firstLine="402" w:firstLineChars="200"/>
              <w:jc w:val="both"/>
              <w:rPr>
                <w:rFonts w:hint="eastAsia" w:ascii="宋体" w:hAnsi="宋体" w:eastAsia="宋体" w:cs="宋体"/>
                <w:sz w:val="20"/>
                <w:szCs w:val="20"/>
              </w:rPr>
            </w:pPr>
            <w:r>
              <w:rPr>
                <w:rFonts w:hint="eastAsia" w:ascii="宋体" w:hAnsi="宋体" w:eastAsia="宋体" w:cs="宋体"/>
                <w:b/>
                <w:bCs/>
                <w:sz w:val="20"/>
                <w:szCs w:val="20"/>
              </w:rPr>
              <w:t>1.意外伤害保险（身故、伤残）</w:t>
            </w:r>
          </w:p>
          <w:p w14:paraId="6355BAC6">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（1）意外身故保险责任</w:t>
            </w:r>
          </w:p>
          <w:p w14:paraId="036BE536">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若被保险人遭受意外伤害事故，并因本次意外伤害直接导致被保险人在该意外伤害事故发生之日起180日内身故，保险人按该被保险人对应的保险金额给付意外身故保险金，保险人对该被保险人的保险责任终止。</w:t>
            </w:r>
          </w:p>
          <w:p w14:paraId="12E1A52C">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（2）意外伤残保险责任</w:t>
            </w:r>
          </w:p>
          <w:p w14:paraId="4D979E6E">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若被保险人遭受意外伤害事故，并因本次意外伤害直接导致被保险人在该意外伤害事故发生之日起180日内发生《人身保险伤残评定标准（行业标准）》</w:t>
            </w:r>
            <w:r>
              <w:rPr>
                <w:rFonts w:hint="eastAsia" w:ascii="宋体" w:hAnsi="宋体" w:eastAsia="宋体" w:cs="宋体"/>
                <w:sz w:val="20"/>
                <w:szCs w:val="20"/>
                <w:lang w:val="en-US" w:eastAsia="zh-CN"/>
              </w:rPr>
              <w:t>（编号为(GB/T 44893-2024）</w:t>
            </w:r>
            <w:r>
              <w:rPr>
                <w:rFonts w:hint="eastAsia" w:ascii="宋体" w:hAnsi="宋体" w:eastAsia="宋体" w:cs="宋体"/>
                <w:sz w:val="20"/>
                <w:szCs w:val="20"/>
              </w:rPr>
              <w:t>中所列的伤残条目，保险人依照该标准规定的评定原则进行评定，并按评定结果所对应该标准规定的给付比例乘以该被保险人对应的保险金额给付残疾保险金。如自意外伤害事故发生之日起180日治疗仍未结束的，则按事故发生之日起第180日的身体情况进行伤残鉴定，并据此给付意外残疾保险金。</w:t>
            </w:r>
          </w:p>
          <w:p w14:paraId="2EF82DFC">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当任何一项或数项保险金给付额累计达到该被保险人对应的保险金额时，保险人对该被保险人的全部保险责任终止。</w:t>
            </w:r>
          </w:p>
          <w:p w14:paraId="0C2C50D6">
            <w:pPr>
              <w:widowControl w:val="0"/>
              <w:numPr>
                <w:ilvl w:val="0"/>
                <w:numId w:val="0"/>
              </w:numPr>
              <w:spacing w:line="360" w:lineRule="exact"/>
              <w:ind w:firstLine="402" w:firstLineChars="200"/>
              <w:jc w:val="both"/>
              <w:rPr>
                <w:rFonts w:hint="eastAsia" w:ascii="宋体" w:hAnsi="宋体" w:eastAsia="宋体" w:cs="宋体"/>
                <w:sz w:val="20"/>
                <w:szCs w:val="20"/>
              </w:rPr>
            </w:pPr>
            <w:r>
              <w:rPr>
                <w:rFonts w:hint="eastAsia" w:ascii="宋体" w:hAnsi="宋体" w:eastAsia="宋体" w:cs="宋体"/>
                <w:b/>
                <w:bCs/>
                <w:sz w:val="20"/>
                <w:szCs w:val="20"/>
              </w:rPr>
              <w:t>2.意外伤害医疗保险</w:t>
            </w:r>
          </w:p>
          <w:p w14:paraId="317F0C45">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若被保险人遭受意外伤害在卫生行政部门认定的二级以上医院接受治疗，保险人对被保险人因该次意外伤害的治疗而发生的符合本附加险合同保单签发地政府基本医疗保险管理规定范围内合理且必要的医疗费用，按投保时双方约定的免赔额及给付比例予以补偿。</w:t>
            </w:r>
          </w:p>
          <w:p w14:paraId="16EC6491">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被保险人在保险期间内因意外伤害而住院治疗，至保险期间届满治疗仍未结束的，保险人继续承担本条前述所列的保险责任至住院结束，但最长不超过意外伤害发生之日起第180天。</w:t>
            </w:r>
          </w:p>
          <w:p w14:paraId="5E40D8A2">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被保险人在保险期间内因意外伤害而进行门急诊治疗，至保险期间届满治疗仍未结束的，保险人继续承担本条前述所列的保险责任，但最长不超过意外伤害发生之日起第30天。</w:t>
            </w:r>
          </w:p>
          <w:p w14:paraId="72B7FE5D">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在任何情况下，本公司对同一被保险人一次或多次累计给付金额达到该被保险人对应的保险金额时，本公司对该被保险人的保险责任即时终止。</w:t>
            </w:r>
          </w:p>
          <w:p w14:paraId="79C4921C">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若被保险人从任何途径取得医疗费用补偿或赔偿，保险人给付保险金以扣除上述所得医疗费用补偿或赔偿后的剩余医疗费用中符合保单签发地政府基本医疗保险管理规定的费用金额为限。</w:t>
            </w:r>
          </w:p>
          <w:p w14:paraId="1EC79A2E">
            <w:pPr>
              <w:widowControl w:val="0"/>
              <w:numPr>
                <w:ilvl w:val="0"/>
                <w:numId w:val="0"/>
              </w:numPr>
              <w:spacing w:line="360" w:lineRule="exact"/>
              <w:ind w:firstLine="402" w:firstLineChars="200"/>
              <w:jc w:val="both"/>
              <w:rPr>
                <w:rFonts w:hint="eastAsia" w:ascii="宋体" w:hAnsi="宋体" w:eastAsia="宋体" w:cs="宋体"/>
                <w:sz w:val="20"/>
                <w:szCs w:val="20"/>
              </w:rPr>
            </w:pPr>
            <w:r>
              <w:rPr>
                <w:rFonts w:hint="eastAsia" w:ascii="宋体" w:hAnsi="宋体" w:eastAsia="宋体" w:cs="宋体"/>
                <w:b/>
                <w:bCs/>
                <w:sz w:val="20"/>
                <w:szCs w:val="20"/>
              </w:rPr>
              <w:t>3.附加意外伤害住院</w:t>
            </w:r>
            <w:r>
              <w:rPr>
                <w:rFonts w:hint="eastAsia" w:ascii="宋体" w:hAnsi="宋体" w:cs="宋体"/>
                <w:b/>
                <w:bCs/>
                <w:sz w:val="20"/>
                <w:szCs w:val="20"/>
                <w:lang w:eastAsia="zh-CN"/>
              </w:rPr>
              <w:t>津贴</w:t>
            </w:r>
            <w:r>
              <w:rPr>
                <w:rFonts w:hint="eastAsia" w:ascii="宋体" w:hAnsi="宋体" w:eastAsia="宋体" w:cs="宋体"/>
                <w:b/>
                <w:bCs/>
                <w:sz w:val="20"/>
                <w:szCs w:val="20"/>
              </w:rPr>
              <w:t>团体医疗保险</w:t>
            </w:r>
          </w:p>
          <w:p w14:paraId="65C58DEF">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若被保险人遭受意外伤害，并自该次意外伤害发生之日起180日内因该意外伤害在卫生行政部门认定的二级以上医院住院治疗，本公司按其实际住院天数乘以投保时双方约定的日住院</w:t>
            </w:r>
            <w:r>
              <w:rPr>
                <w:rFonts w:hint="eastAsia" w:ascii="宋体" w:hAnsi="宋体" w:cs="宋体"/>
                <w:sz w:val="20"/>
                <w:szCs w:val="20"/>
                <w:lang w:eastAsia="zh-CN"/>
              </w:rPr>
              <w:t>津贴</w:t>
            </w:r>
            <w:r>
              <w:rPr>
                <w:rFonts w:hint="eastAsia" w:ascii="宋体" w:hAnsi="宋体" w:eastAsia="宋体" w:cs="宋体"/>
                <w:sz w:val="20"/>
                <w:szCs w:val="20"/>
              </w:rPr>
              <w:t>金额给付意外伤害住院</w:t>
            </w:r>
            <w:r>
              <w:rPr>
                <w:rFonts w:hint="eastAsia" w:ascii="宋体" w:hAnsi="宋体" w:cs="宋体"/>
                <w:sz w:val="20"/>
                <w:szCs w:val="20"/>
                <w:lang w:eastAsia="zh-CN"/>
              </w:rPr>
              <w:t>津贴</w:t>
            </w:r>
            <w:r>
              <w:rPr>
                <w:rFonts w:hint="eastAsia" w:ascii="宋体" w:hAnsi="宋体" w:eastAsia="宋体" w:cs="宋体"/>
                <w:sz w:val="20"/>
                <w:szCs w:val="20"/>
              </w:rPr>
              <w:t>保险金。</w:t>
            </w:r>
          </w:p>
          <w:p w14:paraId="7003E488">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被保险人在保险期间内因意外伤害住院治疗，至保险期间届满治疗仍未结束的，保险人继续承担本条前述所列的保险责任至住院结束，但最长不超过意外伤害发生之日起第180日。</w:t>
            </w:r>
          </w:p>
          <w:p w14:paraId="1EBE3A0B">
            <w:pPr>
              <w:widowControl w:val="0"/>
              <w:numPr>
                <w:ilvl w:val="0"/>
                <w:numId w:val="0"/>
              </w:numPr>
              <w:spacing w:line="360" w:lineRule="exact"/>
              <w:ind w:firstLine="400" w:firstLineChars="200"/>
              <w:jc w:val="both"/>
              <w:rPr>
                <w:rFonts w:hint="eastAsia" w:ascii="宋体" w:hAnsi="宋体" w:eastAsia="宋体" w:cs="宋体"/>
                <w:sz w:val="20"/>
                <w:szCs w:val="20"/>
              </w:rPr>
            </w:pPr>
            <w:r>
              <w:rPr>
                <w:rFonts w:hint="eastAsia" w:ascii="宋体" w:hAnsi="宋体" w:eastAsia="宋体" w:cs="宋体"/>
                <w:sz w:val="20"/>
                <w:szCs w:val="20"/>
              </w:rPr>
              <w:t>在任何情况下，保险人对同一被保险人</w:t>
            </w:r>
            <w:r>
              <w:rPr>
                <w:rFonts w:hint="eastAsia" w:ascii="宋体" w:hAnsi="宋体" w:cs="宋体"/>
                <w:sz w:val="20"/>
                <w:szCs w:val="20"/>
                <w:lang w:eastAsia="zh-CN"/>
              </w:rPr>
              <w:t>单次</w:t>
            </w:r>
            <w:r>
              <w:rPr>
                <w:rFonts w:hint="eastAsia" w:ascii="宋体" w:hAnsi="宋体" w:eastAsia="宋体" w:cs="宋体"/>
                <w:sz w:val="20"/>
                <w:szCs w:val="20"/>
              </w:rPr>
              <w:t>给付意外伤害住院</w:t>
            </w:r>
            <w:r>
              <w:rPr>
                <w:rFonts w:hint="eastAsia" w:ascii="宋体" w:hAnsi="宋体" w:cs="宋体"/>
                <w:sz w:val="20"/>
                <w:szCs w:val="20"/>
                <w:lang w:eastAsia="zh-CN"/>
              </w:rPr>
              <w:t>津贴</w:t>
            </w:r>
            <w:r>
              <w:rPr>
                <w:rFonts w:hint="eastAsia" w:ascii="宋体" w:hAnsi="宋体" w:eastAsia="宋体" w:cs="宋体"/>
                <w:sz w:val="20"/>
                <w:szCs w:val="20"/>
              </w:rPr>
              <w:t>保险金的天数以180天为限，累计</w:t>
            </w:r>
            <w:r>
              <w:rPr>
                <w:rFonts w:hint="eastAsia" w:ascii="宋体" w:hAnsi="宋体" w:cs="宋体"/>
                <w:sz w:val="20"/>
                <w:szCs w:val="20"/>
                <w:lang w:val="en-US" w:eastAsia="zh-CN"/>
              </w:rPr>
              <w:t>365天为限，</w:t>
            </w:r>
            <w:r>
              <w:rPr>
                <w:rFonts w:hint="eastAsia" w:ascii="宋体" w:hAnsi="宋体" w:eastAsia="宋体" w:cs="宋体"/>
                <w:sz w:val="20"/>
                <w:szCs w:val="20"/>
              </w:rPr>
              <w:t>当一次给付天数达到180天或累计</w:t>
            </w:r>
            <w:r>
              <w:rPr>
                <w:rFonts w:hint="eastAsia" w:ascii="宋体" w:hAnsi="宋体" w:cs="宋体"/>
                <w:sz w:val="20"/>
                <w:szCs w:val="20"/>
                <w:lang w:eastAsia="zh-CN"/>
              </w:rPr>
              <w:t>达到</w:t>
            </w:r>
            <w:r>
              <w:rPr>
                <w:rFonts w:hint="eastAsia" w:ascii="宋体" w:hAnsi="宋体" w:cs="宋体"/>
                <w:sz w:val="20"/>
                <w:szCs w:val="20"/>
                <w:lang w:val="en-US" w:eastAsia="zh-CN"/>
              </w:rPr>
              <w:t>365天</w:t>
            </w:r>
            <w:r>
              <w:rPr>
                <w:rFonts w:hint="eastAsia" w:ascii="宋体" w:hAnsi="宋体" w:eastAsia="宋体" w:cs="宋体"/>
                <w:sz w:val="20"/>
                <w:szCs w:val="20"/>
              </w:rPr>
              <w:t>时，保险人对该被保险人的保险责任即时终止。</w:t>
            </w:r>
          </w:p>
          <w:p w14:paraId="17549B26">
            <w:pPr>
              <w:widowControl w:val="0"/>
              <w:numPr>
                <w:ilvl w:val="0"/>
                <w:numId w:val="0"/>
              </w:numPr>
              <w:spacing w:line="360" w:lineRule="exact"/>
              <w:ind w:firstLine="420" w:firstLineChars="200"/>
              <w:jc w:val="both"/>
              <w:rPr>
                <w:rFonts w:hint="eastAsia" w:ascii="宋体" w:hAnsi="宋体" w:cs="宋体" w:eastAsiaTheme="minorEastAsia"/>
                <w:b/>
                <w:bCs/>
                <w:sz w:val="20"/>
                <w:szCs w:val="20"/>
                <w:lang w:eastAsia="zh-CN"/>
              </w:rPr>
            </w:pPr>
            <w:r>
              <w:rPr>
                <w:rFonts w:hint="eastAsia"/>
              </w:rPr>
              <w:t xml:space="preserve"> </w:t>
            </w:r>
            <w:r>
              <w:rPr>
                <w:rFonts w:hint="eastAsia"/>
                <w:b/>
                <w:bCs/>
                <w:lang w:val="en-US" w:eastAsia="zh-CN"/>
              </w:rPr>
              <w:t>4.</w:t>
            </w:r>
            <w:r>
              <w:rPr>
                <w:rFonts w:hint="eastAsia" w:asciiTheme="minorEastAsia" w:hAnsiTheme="minorEastAsia" w:eastAsiaTheme="minorEastAsia"/>
                <w:b/>
                <w:bCs/>
                <w:sz w:val="20"/>
                <w:szCs w:val="20"/>
              </w:rPr>
              <w:t>猝</w:t>
            </w:r>
            <w:r>
              <w:rPr>
                <w:rFonts w:hint="eastAsia" w:asciiTheme="minorEastAsia" w:hAnsiTheme="minorEastAsia" w:eastAsiaTheme="minorEastAsia"/>
                <w:b/>
                <w:sz w:val="20"/>
                <w:szCs w:val="20"/>
              </w:rPr>
              <w:t>死</w:t>
            </w:r>
            <w:r>
              <w:rPr>
                <w:rFonts w:hint="eastAsia" w:asciiTheme="minorEastAsia" w:hAnsiTheme="minorEastAsia" w:eastAsiaTheme="minorEastAsia"/>
                <w:b/>
                <w:sz w:val="20"/>
                <w:szCs w:val="20"/>
                <w:lang w:eastAsia="zh-CN"/>
              </w:rPr>
              <w:t>保险</w:t>
            </w:r>
          </w:p>
          <w:p w14:paraId="12A01DA9">
            <w:pPr>
              <w:spacing w:line="360" w:lineRule="exact"/>
              <w:ind w:firstLine="400" w:firstLineChars="200"/>
              <w:rPr>
                <w:rFonts w:asciiTheme="minorEastAsia" w:hAnsiTheme="minorEastAsia" w:eastAsiaTheme="minorEastAsia"/>
                <w:b w:val="0"/>
                <w:bCs/>
                <w:sz w:val="20"/>
                <w:szCs w:val="20"/>
              </w:rPr>
            </w:pPr>
            <w:r>
              <w:rPr>
                <w:rFonts w:hint="eastAsia" w:asciiTheme="minorEastAsia" w:hAnsiTheme="minorEastAsia" w:eastAsiaTheme="minorEastAsia"/>
                <w:sz w:val="20"/>
                <w:szCs w:val="20"/>
              </w:rPr>
              <w:t>在保险期间内，被保险人由保险人指定或者认可的医疗机构诊断为猝死的，保险人按照本附加合同载明的保险金额负责给付猝死保险金，同时本附加合同约定的对该被保险人的保险责任终止。</w:t>
            </w:r>
          </w:p>
        </w:tc>
      </w:tr>
      <w:tr w14:paraId="530F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49" w:type="dxa"/>
            <w:gridSpan w:val="2"/>
            <w:shd w:val="clear" w:color="auto" w:fill="auto"/>
          </w:tcPr>
          <w:p w14:paraId="608FF2B6">
            <w:pPr>
              <w:pStyle w:val="14"/>
              <w:spacing w:line="360" w:lineRule="exact"/>
              <w:ind w:firstLine="0" w:firstLineChars="0"/>
              <w:rPr>
                <w:rFonts w:asciiTheme="minorEastAsia" w:hAnsiTheme="minorEastAsia" w:eastAsiaTheme="minorEastAsia"/>
                <w:b/>
                <w:sz w:val="20"/>
                <w:szCs w:val="20"/>
              </w:rPr>
            </w:pPr>
            <w:r>
              <w:rPr>
                <w:rFonts w:hint="eastAsia" w:asciiTheme="minorEastAsia" w:hAnsiTheme="minorEastAsia" w:eastAsiaTheme="minorEastAsia"/>
                <w:b/>
                <w:sz w:val="20"/>
                <w:szCs w:val="20"/>
              </w:rPr>
              <w:t>保障项目</w:t>
            </w:r>
            <w:r>
              <w:rPr>
                <w:rFonts w:asciiTheme="minorEastAsia" w:hAnsiTheme="minorEastAsia" w:eastAsiaTheme="minorEastAsia"/>
                <w:b/>
                <w:sz w:val="20"/>
                <w:szCs w:val="20"/>
              </w:rPr>
              <w:t>及</w:t>
            </w:r>
            <w:r>
              <w:rPr>
                <w:rFonts w:hint="eastAsia" w:asciiTheme="minorEastAsia" w:hAnsiTheme="minorEastAsia" w:eastAsiaTheme="minorEastAsia"/>
                <w:b/>
                <w:sz w:val="20"/>
                <w:szCs w:val="20"/>
              </w:rPr>
              <w:t>赔偿限额</w:t>
            </w:r>
          </w:p>
        </w:tc>
        <w:tc>
          <w:tcPr>
            <w:tcW w:w="7073" w:type="dxa"/>
            <w:gridSpan w:val="4"/>
            <w:shd w:val="clear" w:color="auto" w:fill="auto"/>
          </w:tcPr>
          <w:tbl>
            <w:tblPr>
              <w:tblStyle w:val="10"/>
              <w:tblW w:w="6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725"/>
              <w:gridCol w:w="1150"/>
              <w:gridCol w:w="1487"/>
              <w:gridCol w:w="1328"/>
            </w:tblGrid>
            <w:tr w14:paraId="4789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7A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保障项目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71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意外身故或残疾</w:t>
                  </w:r>
                </w:p>
                <w:p w14:paraId="421F41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（/人/年）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2C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猝死</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（/人/年）</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72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意外医疗费用（/人/年）</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95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意外住院补贴（/人/天）</w:t>
                  </w:r>
                </w:p>
              </w:tc>
            </w:tr>
            <w:tr w14:paraId="65E5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B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赔偿限额</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7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4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5万元</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5万元</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6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150元（</w:t>
                  </w:r>
                  <w:r>
                    <w:rPr>
                      <w:rFonts w:hint="eastAsia" w:asciiTheme="minorEastAsia" w:hAnsiTheme="minorEastAsia" w:eastAsiaTheme="minorEastAsia" w:cstheme="minorEastAsia"/>
                      <w:color w:val="000000"/>
                      <w:kern w:val="0"/>
                      <w:sz w:val="20"/>
                      <w:szCs w:val="20"/>
                      <w:u w:val="none"/>
                      <w:lang w:bidi="ar"/>
                    </w:rPr>
                    <w:t>每次180天，累计365天）</w:t>
                  </w:r>
                </w:p>
              </w:tc>
            </w:tr>
          </w:tbl>
          <w:p w14:paraId="6988DE3E">
            <w:pPr>
              <w:pStyle w:val="14"/>
              <w:spacing w:line="360" w:lineRule="exact"/>
              <w:ind w:firstLine="0" w:firstLineChars="0"/>
              <w:rPr>
                <w:rFonts w:hint="eastAsia" w:asciiTheme="minorEastAsia" w:hAnsiTheme="minorEastAsia" w:eastAsiaTheme="minorEastAsia"/>
                <w:sz w:val="20"/>
                <w:szCs w:val="20"/>
                <w:lang w:eastAsia="zh-CN"/>
              </w:rPr>
            </w:pPr>
          </w:p>
        </w:tc>
      </w:tr>
      <w:tr w14:paraId="53E7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shd w:val="clear" w:color="auto" w:fill="auto"/>
          </w:tcPr>
          <w:p w14:paraId="5DDF1A88">
            <w:pPr>
              <w:pStyle w:val="14"/>
              <w:spacing w:line="360" w:lineRule="exact"/>
              <w:ind w:firstLine="0" w:firstLineChars="0"/>
              <w:rPr>
                <w:rFonts w:asciiTheme="minorEastAsia" w:hAnsiTheme="minorEastAsia" w:eastAsiaTheme="minorEastAsia"/>
                <w:b/>
                <w:sz w:val="20"/>
                <w:szCs w:val="20"/>
              </w:rPr>
            </w:pPr>
            <w:r>
              <w:rPr>
                <w:rFonts w:hint="eastAsia" w:asciiTheme="minorEastAsia" w:hAnsiTheme="minorEastAsia" w:eastAsiaTheme="minorEastAsia"/>
                <w:b/>
                <w:sz w:val="20"/>
                <w:szCs w:val="20"/>
              </w:rPr>
              <w:t>保险</w:t>
            </w:r>
            <w:r>
              <w:rPr>
                <w:rFonts w:asciiTheme="minorEastAsia" w:hAnsiTheme="minorEastAsia" w:eastAsiaTheme="minorEastAsia"/>
                <w:b/>
                <w:sz w:val="20"/>
                <w:szCs w:val="20"/>
              </w:rPr>
              <w:t>期限</w:t>
            </w:r>
          </w:p>
        </w:tc>
        <w:tc>
          <w:tcPr>
            <w:tcW w:w="7073" w:type="dxa"/>
            <w:gridSpan w:val="4"/>
            <w:shd w:val="clear" w:color="auto" w:fill="auto"/>
          </w:tcPr>
          <w:p w14:paraId="7506EE18">
            <w:pPr>
              <w:pStyle w:val="14"/>
              <w:spacing w:line="360" w:lineRule="exact"/>
              <w:ind w:firstLine="0" w:firstLineChars="0"/>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一年</w:t>
            </w:r>
          </w:p>
        </w:tc>
      </w:tr>
      <w:tr w14:paraId="6026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shd w:val="clear" w:color="auto" w:fill="auto"/>
          </w:tcPr>
          <w:p w14:paraId="0C0A5018">
            <w:pPr>
              <w:pStyle w:val="14"/>
              <w:spacing w:line="360" w:lineRule="exact"/>
              <w:ind w:firstLine="0" w:firstLineChars="0"/>
              <w:rPr>
                <w:rFonts w:asciiTheme="minorEastAsia" w:hAnsiTheme="minorEastAsia" w:eastAsiaTheme="minorEastAsia"/>
                <w:b/>
                <w:sz w:val="20"/>
                <w:szCs w:val="20"/>
              </w:rPr>
            </w:pPr>
            <w:r>
              <w:rPr>
                <w:rFonts w:hint="eastAsia" w:asciiTheme="minorEastAsia" w:hAnsiTheme="minorEastAsia" w:eastAsiaTheme="minorEastAsia"/>
                <w:b/>
                <w:sz w:val="20"/>
                <w:szCs w:val="20"/>
              </w:rPr>
              <w:t>司法管辖</w:t>
            </w:r>
          </w:p>
        </w:tc>
        <w:tc>
          <w:tcPr>
            <w:tcW w:w="7073" w:type="dxa"/>
            <w:gridSpan w:val="4"/>
            <w:shd w:val="clear" w:color="auto" w:fill="auto"/>
          </w:tcPr>
          <w:p w14:paraId="0F2B1E33">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中华</w:t>
            </w:r>
            <w:r>
              <w:rPr>
                <w:rFonts w:asciiTheme="minorEastAsia" w:hAnsiTheme="minorEastAsia" w:eastAsiaTheme="minorEastAsia"/>
                <w:sz w:val="20"/>
                <w:szCs w:val="20"/>
              </w:rPr>
              <w:t>人民共和国（</w:t>
            </w:r>
            <w:r>
              <w:rPr>
                <w:rFonts w:hint="eastAsia" w:asciiTheme="minorEastAsia" w:hAnsiTheme="minorEastAsia" w:eastAsiaTheme="minorEastAsia"/>
                <w:sz w:val="20"/>
                <w:szCs w:val="20"/>
              </w:rPr>
              <w:t>港、澳、台</w:t>
            </w:r>
            <w:r>
              <w:rPr>
                <w:rFonts w:asciiTheme="minorEastAsia" w:hAnsiTheme="minorEastAsia" w:eastAsiaTheme="minorEastAsia"/>
                <w:sz w:val="20"/>
                <w:szCs w:val="20"/>
              </w:rPr>
              <w:t>除外）</w:t>
            </w:r>
          </w:p>
        </w:tc>
      </w:tr>
      <w:tr w14:paraId="54E3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9" w:type="dxa"/>
            <w:gridSpan w:val="2"/>
            <w:shd w:val="clear" w:color="auto" w:fill="auto"/>
          </w:tcPr>
          <w:p w14:paraId="28D83175">
            <w:pPr>
              <w:pStyle w:val="14"/>
              <w:spacing w:line="360" w:lineRule="exact"/>
              <w:ind w:firstLine="0" w:firstLineChars="0"/>
              <w:rPr>
                <w:rFonts w:asciiTheme="minorEastAsia" w:hAnsiTheme="minorEastAsia" w:eastAsiaTheme="minorEastAsia"/>
                <w:b/>
                <w:sz w:val="20"/>
                <w:szCs w:val="20"/>
              </w:rPr>
            </w:pPr>
            <w:r>
              <w:rPr>
                <w:rFonts w:hint="eastAsia" w:asciiTheme="minorEastAsia" w:hAnsiTheme="minorEastAsia" w:eastAsiaTheme="minorEastAsia"/>
                <w:b/>
                <w:sz w:val="20"/>
                <w:szCs w:val="20"/>
              </w:rPr>
              <w:t>基本险</w:t>
            </w:r>
            <w:r>
              <w:rPr>
                <w:rFonts w:asciiTheme="minorEastAsia" w:hAnsiTheme="minorEastAsia" w:eastAsiaTheme="minorEastAsia"/>
                <w:b/>
                <w:sz w:val="20"/>
                <w:szCs w:val="20"/>
              </w:rPr>
              <w:t>条款</w:t>
            </w:r>
          </w:p>
        </w:tc>
        <w:tc>
          <w:tcPr>
            <w:tcW w:w="7073" w:type="dxa"/>
            <w:gridSpan w:val="4"/>
            <w:shd w:val="clear" w:color="auto" w:fill="auto"/>
          </w:tcPr>
          <w:p w14:paraId="60F21458">
            <w:pPr>
              <w:pStyle w:val="14"/>
              <w:spacing w:line="360" w:lineRule="exact"/>
              <w:ind w:firstLine="0" w:firstLineChars="0"/>
              <w:rPr>
                <w:rFonts w:asciiTheme="minorEastAsia" w:hAnsiTheme="minorEastAsia" w:eastAsiaTheme="minorEastAsia"/>
                <w:sz w:val="20"/>
                <w:szCs w:val="20"/>
              </w:rPr>
            </w:pPr>
            <w:r>
              <w:rPr>
                <w:rFonts w:hint="eastAsia" w:asciiTheme="minorEastAsia" w:hAnsiTheme="minorEastAsia" w:eastAsiaTheme="minorEastAsia"/>
                <w:sz w:val="20"/>
                <w:szCs w:val="20"/>
              </w:rPr>
              <w:t>团体人身</w:t>
            </w:r>
            <w:r>
              <w:rPr>
                <w:rFonts w:asciiTheme="minorEastAsia" w:hAnsiTheme="minorEastAsia" w:eastAsiaTheme="minorEastAsia"/>
                <w:sz w:val="20"/>
                <w:szCs w:val="20"/>
              </w:rPr>
              <w:t>意外伤害保险</w:t>
            </w:r>
          </w:p>
        </w:tc>
      </w:tr>
      <w:tr w14:paraId="4AD1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shd w:val="clear" w:color="auto" w:fill="auto"/>
          </w:tcPr>
          <w:p w14:paraId="4A10640D">
            <w:pPr>
              <w:pStyle w:val="14"/>
              <w:spacing w:line="360" w:lineRule="exact"/>
              <w:ind w:firstLine="0" w:firstLineChars="0"/>
              <w:rPr>
                <w:rFonts w:asciiTheme="minorEastAsia" w:hAnsiTheme="minorEastAsia" w:eastAsiaTheme="minorEastAsia"/>
                <w:b/>
                <w:sz w:val="20"/>
                <w:szCs w:val="20"/>
              </w:rPr>
            </w:pPr>
            <w:r>
              <w:rPr>
                <w:rFonts w:hint="eastAsia" w:asciiTheme="minorEastAsia" w:hAnsiTheme="minorEastAsia" w:eastAsiaTheme="minorEastAsia"/>
                <w:b/>
                <w:sz w:val="20"/>
                <w:szCs w:val="20"/>
              </w:rPr>
              <w:t>附加条款</w:t>
            </w:r>
          </w:p>
        </w:tc>
        <w:tc>
          <w:tcPr>
            <w:tcW w:w="7073" w:type="dxa"/>
            <w:gridSpan w:val="4"/>
            <w:shd w:val="clear" w:color="auto" w:fill="auto"/>
          </w:tcPr>
          <w:p w14:paraId="26D3A456">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1</w:t>
            </w:r>
            <w:r>
              <w:rPr>
                <w:rFonts w:asciiTheme="minorEastAsia" w:hAnsiTheme="minorEastAsia" w:eastAsiaTheme="minorEastAsia"/>
                <w:sz w:val="20"/>
                <w:szCs w:val="20"/>
              </w:rPr>
              <w:t>.</w:t>
            </w:r>
            <w:r>
              <w:rPr>
                <w:rFonts w:hint="eastAsia" w:asciiTheme="minorEastAsia" w:hAnsiTheme="minorEastAsia" w:eastAsiaTheme="minorEastAsia"/>
                <w:sz w:val="20"/>
                <w:szCs w:val="20"/>
              </w:rPr>
              <w:t>附加</w:t>
            </w:r>
            <w:r>
              <w:rPr>
                <w:rFonts w:hint="eastAsia" w:asciiTheme="minorEastAsia" w:hAnsiTheme="minorEastAsia" w:eastAsiaTheme="minorEastAsia"/>
                <w:sz w:val="20"/>
                <w:szCs w:val="20"/>
                <w:lang w:val="en-US" w:eastAsia="zh-Hans"/>
              </w:rPr>
              <w:t>团体</w:t>
            </w:r>
            <w:r>
              <w:rPr>
                <w:rFonts w:asciiTheme="minorEastAsia" w:hAnsiTheme="minorEastAsia" w:eastAsiaTheme="minorEastAsia"/>
                <w:sz w:val="20"/>
                <w:szCs w:val="20"/>
              </w:rPr>
              <w:t>意外伤害</w:t>
            </w:r>
            <w:r>
              <w:rPr>
                <w:rFonts w:hint="eastAsia" w:asciiTheme="minorEastAsia" w:hAnsiTheme="minorEastAsia" w:eastAsiaTheme="minorEastAsia"/>
                <w:sz w:val="20"/>
                <w:szCs w:val="20"/>
              </w:rPr>
              <w:t>医疗</w:t>
            </w:r>
            <w:r>
              <w:rPr>
                <w:rFonts w:asciiTheme="minorEastAsia" w:hAnsiTheme="minorEastAsia" w:eastAsiaTheme="minorEastAsia"/>
                <w:sz w:val="20"/>
                <w:szCs w:val="20"/>
              </w:rPr>
              <w:t>保险条款；</w:t>
            </w:r>
          </w:p>
          <w:p w14:paraId="672EF789">
            <w:pPr>
              <w:spacing w:line="36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2</w:t>
            </w:r>
            <w:r>
              <w:rPr>
                <w:rFonts w:asciiTheme="minorEastAsia" w:hAnsiTheme="minorEastAsia" w:eastAsiaTheme="minorEastAsia"/>
                <w:sz w:val="20"/>
                <w:szCs w:val="20"/>
              </w:rPr>
              <w:t>.</w:t>
            </w:r>
            <w:r>
              <w:rPr>
                <w:rFonts w:hint="eastAsia" w:asciiTheme="minorEastAsia" w:hAnsiTheme="minorEastAsia" w:eastAsiaTheme="minorEastAsia"/>
                <w:sz w:val="20"/>
                <w:szCs w:val="20"/>
              </w:rPr>
              <w:t>附加意外伤害住院补贴医疗保险条款</w:t>
            </w:r>
            <w:r>
              <w:rPr>
                <w:rFonts w:asciiTheme="minorEastAsia" w:hAnsiTheme="minorEastAsia" w:eastAsiaTheme="minorEastAsia"/>
                <w:sz w:val="20"/>
                <w:szCs w:val="20"/>
              </w:rPr>
              <w:t>；</w:t>
            </w:r>
          </w:p>
          <w:p w14:paraId="5F3DE957">
            <w:pPr>
              <w:spacing w:line="360" w:lineRule="exact"/>
            </w:pPr>
            <w:r>
              <w:rPr>
                <w:rFonts w:hint="eastAsia" w:asciiTheme="minorEastAsia" w:hAnsiTheme="minorEastAsia" w:eastAsiaTheme="minorEastAsia"/>
                <w:sz w:val="20"/>
                <w:szCs w:val="20"/>
                <w:lang w:val="en-US" w:eastAsia="zh-CN"/>
              </w:rPr>
              <w:t>3.猝死条款</w:t>
            </w:r>
          </w:p>
          <w:p w14:paraId="0CD20B5C">
            <w:pPr>
              <w:spacing w:line="360" w:lineRule="exact"/>
              <w:rPr>
                <w:rFonts w:hint="default" w:eastAsia="宋体"/>
                <w:lang w:val="en-US" w:eastAsia="zh-CN"/>
              </w:rPr>
            </w:pPr>
            <w:r>
              <w:rPr>
                <w:rFonts w:hint="eastAsia"/>
                <w:lang w:val="en-US" w:eastAsia="zh-CN"/>
              </w:rPr>
              <w:t>注：具体措辞可参考附件</w:t>
            </w:r>
          </w:p>
        </w:tc>
      </w:tr>
      <w:tr w14:paraId="69D4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gridSpan w:val="2"/>
            <w:shd w:val="clear" w:color="auto" w:fill="auto"/>
          </w:tcPr>
          <w:p w14:paraId="0CB6E8B0">
            <w:pPr>
              <w:pStyle w:val="14"/>
              <w:spacing w:line="360" w:lineRule="exact"/>
              <w:ind w:firstLine="0" w:firstLineChars="0"/>
              <w:rPr>
                <w:rFonts w:asciiTheme="minorEastAsia" w:hAnsiTheme="minorEastAsia" w:eastAsiaTheme="minorEastAsia"/>
                <w:b/>
                <w:sz w:val="20"/>
                <w:szCs w:val="20"/>
              </w:rPr>
            </w:pPr>
            <w:r>
              <w:rPr>
                <w:rFonts w:hint="eastAsia" w:asciiTheme="minorEastAsia" w:hAnsiTheme="minorEastAsia" w:eastAsiaTheme="minorEastAsia"/>
                <w:b/>
                <w:sz w:val="20"/>
                <w:szCs w:val="20"/>
              </w:rPr>
              <w:t>特别</w:t>
            </w:r>
            <w:r>
              <w:rPr>
                <w:rFonts w:asciiTheme="minorEastAsia" w:hAnsiTheme="minorEastAsia" w:eastAsiaTheme="minorEastAsia"/>
                <w:b/>
                <w:sz w:val="20"/>
                <w:szCs w:val="20"/>
              </w:rPr>
              <w:t>约定</w:t>
            </w:r>
          </w:p>
        </w:tc>
        <w:tc>
          <w:tcPr>
            <w:tcW w:w="7073" w:type="dxa"/>
            <w:gridSpan w:val="4"/>
            <w:shd w:val="clear" w:color="auto" w:fill="auto"/>
          </w:tcPr>
          <w:p w14:paraId="5070F86B">
            <w:pPr>
              <w:spacing w:line="360" w:lineRule="exact"/>
              <w:ind w:firstLine="402" w:firstLineChars="200"/>
              <w:rPr>
                <w:rFonts w:ascii="宋体" w:hAnsi="宋体"/>
                <w:b/>
                <w:bCs/>
                <w:sz w:val="20"/>
                <w:szCs w:val="20"/>
              </w:rPr>
            </w:pPr>
            <w:r>
              <w:rPr>
                <w:rFonts w:hint="eastAsia"/>
                <w:b/>
                <w:bCs/>
                <w:sz w:val="20"/>
                <w:szCs w:val="20"/>
              </w:rPr>
              <w:t>本保险合同效力优先顺序为：特别约定&gt;附加条款&gt;主险条款，以下特别约定若与本保险单的其他规定相冲突，则特别约定为准。</w:t>
            </w:r>
          </w:p>
          <w:p w14:paraId="5BA29D89">
            <w:pPr>
              <w:spacing w:line="36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1.被保险人因遭受意外伤害导致残疾，按保险金额及该项伤残条目在国家市场监督管理总局和国家标准化管理委员会联合发布</w:t>
            </w:r>
            <w:r>
              <w:rPr>
                <w:rFonts w:hint="eastAsia" w:ascii="宋体" w:hAnsi="宋体" w:cs="宋体"/>
                <w:sz w:val="20"/>
                <w:szCs w:val="20"/>
                <w:lang w:eastAsia="zh-CN"/>
              </w:rPr>
              <w:t>的</w:t>
            </w:r>
            <w:r>
              <w:rPr>
                <w:rFonts w:hint="eastAsia" w:ascii="宋体" w:hAnsi="宋体" w:eastAsia="宋体" w:cs="宋体"/>
                <w:sz w:val="20"/>
                <w:szCs w:val="20"/>
                <w:lang w:eastAsia="zh-CN"/>
              </w:rPr>
              <w:t>《人身保险伤残评定标准及代码》</w:t>
            </w:r>
            <w:r>
              <w:rPr>
                <w:rFonts w:hint="eastAsia" w:ascii="宋体" w:hAnsi="宋体" w:eastAsia="宋体" w:cs="宋体"/>
                <w:sz w:val="20"/>
                <w:szCs w:val="20"/>
                <w:lang w:val="en-US" w:eastAsia="zh-CN"/>
              </w:rPr>
              <w:t>（编号为(GB/T 44893-2024）</w:t>
            </w:r>
            <w:r>
              <w:rPr>
                <w:rFonts w:hint="eastAsia" w:ascii="宋体" w:hAnsi="宋体" w:eastAsia="宋体" w:cs="宋体"/>
                <w:sz w:val="20"/>
                <w:szCs w:val="20"/>
                <w:lang w:eastAsia="zh-CN"/>
              </w:rPr>
              <w:t>中对应的 给付比例给付残疾保险金。给付比例 10%－100%，级差 10% 。</w:t>
            </w:r>
          </w:p>
          <w:p w14:paraId="67C6F5B2">
            <w:pPr>
              <w:spacing w:line="36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2.意外伤害医疗保险拓展以下责任：</w:t>
            </w:r>
          </w:p>
          <w:p w14:paraId="31B5FDD7">
            <w:pPr>
              <w:spacing w:line="36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（1）承担骨折发生后拆除内固定物的费用（不受 180 天限制）。 </w:t>
            </w:r>
          </w:p>
          <w:p w14:paraId="6CC778A8">
            <w:pPr>
              <w:spacing w:line="36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（2）承担意外伤害导致的镶牙费用 1000 元/人/年。</w:t>
            </w:r>
          </w:p>
          <w:p w14:paraId="764B780E">
            <w:pPr>
              <w:spacing w:line="36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（3）承担救护车救护费用最高 500 元/人/次。</w:t>
            </w:r>
          </w:p>
          <w:p w14:paraId="33DEC893">
            <w:pPr>
              <w:spacing w:line="36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3.</w:t>
            </w:r>
            <w:r>
              <w:rPr>
                <w:rFonts w:hint="eastAsia" w:ascii="宋体" w:hAnsi="宋体" w:cs="宋体"/>
                <w:sz w:val="20"/>
                <w:szCs w:val="20"/>
              </w:rPr>
              <w:t>ICU双倍赔付：</w:t>
            </w:r>
            <w:r>
              <w:rPr>
                <w:rFonts w:hint="eastAsia" w:ascii="宋体" w:hAnsi="宋体" w:eastAsia="宋体" w:cs="宋体"/>
                <w:sz w:val="20"/>
                <w:szCs w:val="20"/>
                <w:lang w:eastAsia="zh-CN"/>
              </w:rPr>
              <w:t>住院期间如入住 ICU 病房的，按实际入住天数乘以约定的日住院补贴金额额外给付意外住院补贴。额外给付 ICU 意外住院补贴以 30 天为限。</w:t>
            </w:r>
          </w:p>
          <w:p w14:paraId="4B4C8525">
            <w:pPr>
              <w:spacing w:line="36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4.兹经双方同意，本保单为记名投保，且扩展承保投保人在保险期间内雇佣的新员工（包括但不限于合同制员工、派遣制员工、实习生等）。投保人每季度集中一次性提交人员变更清单，及时向保险公司申报新增员工投保信息并补缴相应保费，每人补缴保费=“保费单价/保单总期限*剩余保单期限</w:t>
            </w:r>
            <w:r>
              <w:rPr>
                <w:rFonts w:hint="eastAsia" w:ascii="宋体" w:hAnsi="宋体" w:cs="宋体"/>
                <w:sz w:val="20"/>
                <w:szCs w:val="20"/>
                <w:lang w:val="en-US" w:eastAsia="zh-CN"/>
              </w:rPr>
              <w:t>天数</w:t>
            </w:r>
            <w:r>
              <w:rPr>
                <w:rFonts w:hint="eastAsia" w:ascii="宋体" w:hAnsi="宋体" w:eastAsia="宋体" w:cs="宋体"/>
                <w:sz w:val="20"/>
                <w:szCs w:val="20"/>
                <w:lang w:eastAsia="zh-CN"/>
              </w:rPr>
              <w:t>”。新员工保险责任有效期自入职之日起生效，相邻两次批改间隔日期之内的新员工，保险公司也承担保险责任。因批改疏漏，索赔以当月社保清单或入职证明为准并补缴相应保费。</w:t>
            </w:r>
          </w:p>
          <w:p w14:paraId="51E9694C">
            <w:pPr>
              <w:spacing w:line="36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eastAsia="zh-CN"/>
              </w:rPr>
              <w:t>5.兹经双方同意,已明确属于本保单意外医疗费用保障责任且治疗尚未结束的事故，被保险人提出预付赔款的请求，且出具相应医疗费用发票等证明资料的，保险公司可对其已确定部分的医疗费用在保险金额内予以赔付。</w:t>
            </w:r>
          </w:p>
          <w:p w14:paraId="54222EFA">
            <w:pPr>
              <w:spacing w:line="360" w:lineRule="exact"/>
              <w:ind w:firstLine="400" w:firstLineChars="200"/>
              <w:rPr>
                <w:rFonts w:hint="default" w:asciiTheme="minorEastAsia" w:hAnsiTheme="minorEastAsia" w:eastAsiaTheme="minorEastAsia"/>
                <w:sz w:val="20"/>
                <w:szCs w:val="20"/>
                <w:lang w:val="en-US" w:eastAsia="zh-CN"/>
              </w:rPr>
            </w:pPr>
            <w:r>
              <w:rPr>
                <w:rFonts w:hint="eastAsia" w:ascii="宋体" w:hAnsi="宋体" w:eastAsia="宋体" w:cs="宋体"/>
                <w:sz w:val="20"/>
                <w:szCs w:val="20"/>
                <w:lang w:eastAsia="zh-CN"/>
              </w:rPr>
              <w:t>6.兹经双方同意，对于被保险人因已明确属于本保单保障责任的事故造成的医疗费用,若投保人进行了垫付，保险公司可根据被保险人本人签订的赔款授权书及对应的医疗费用发票将赔款支付给投保人。</w:t>
            </w:r>
          </w:p>
        </w:tc>
      </w:tr>
      <w:tr w14:paraId="3AF0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9" w:type="dxa"/>
            <w:gridSpan w:val="2"/>
            <w:shd w:val="clear" w:color="auto" w:fill="auto"/>
          </w:tcPr>
          <w:p w14:paraId="65AB3EF4">
            <w:pPr>
              <w:pStyle w:val="14"/>
              <w:spacing w:line="360" w:lineRule="exact"/>
              <w:ind w:firstLine="0" w:firstLineChars="0"/>
              <w:rPr>
                <w:rFonts w:asciiTheme="minorEastAsia" w:hAnsiTheme="minorEastAsia" w:eastAsiaTheme="minorEastAsia"/>
                <w:b/>
                <w:sz w:val="20"/>
                <w:szCs w:val="20"/>
              </w:rPr>
            </w:pPr>
            <w:r>
              <w:rPr>
                <w:rFonts w:hint="eastAsia" w:asciiTheme="minorEastAsia" w:hAnsiTheme="minorEastAsia" w:eastAsiaTheme="minorEastAsia"/>
                <w:b/>
                <w:sz w:val="20"/>
                <w:szCs w:val="20"/>
              </w:rPr>
              <w:t>免赔</w:t>
            </w:r>
            <w:r>
              <w:rPr>
                <w:rFonts w:asciiTheme="minorEastAsia" w:hAnsiTheme="minorEastAsia" w:eastAsiaTheme="minorEastAsia"/>
                <w:b/>
                <w:sz w:val="20"/>
                <w:szCs w:val="20"/>
              </w:rPr>
              <w:t>额</w:t>
            </w:r>
          </w:p>
        </w:tc>
        <w:tc>
          <w:tcPr>
            <w:tcW w:w="7073" w:type="dxa"/>
            <w:gridSpan w:val="4"/>
            <w:shd w:val="clear" w:color="auto" w:fill="auto"/>
          </w:tcPr>
          <w:p w14:paraId="5DB0C8FE">
            <w:pPr>
              <w:pStyle w:val="4"/>
              <w:rPr>
                <w:rFonts w:hint="eastAsia"/>
                <w:lang w:val="en-US" w:eastAsia="zh-CN"/>
              </w:rPr>
            </w:pPr>
            <w:r>
              <w:rPr>
                <w:rFonts w:hint="eastAsia"/>
                <w:lang w:val="en-US" w:eastAsia="zh-CN"/>
              </w:rPr>
              <w:t>医疗费用：扣除0元后按照100%给付</w:t>
            </w:r>
          </w:p>
          <w:p w14:paraId="7AE13D12">
            <w:pPr>
              <w:pStyle w:val="4"/>
              <w:ind w:firstLineChars="0"/>
              <w:rPr>
                <w:rFonts w:hint="eastAsia" w:ascii="宋体" w:hAnsi="宋体" w:eastAsiaTheme="minorEastAsia"/>
                <w:bCs/>
                <w:sz w:val="20"/>
                <w:szCs w:val="20"/>
                <w:lang w:val="en-US" w:eastAsia="zh-CN"/>
              </w:rPr>
            </w:pPr>
            <w:r>
              <w:rPr>
                <w:rFonts w:hint="eastAsia"/>
                <w:lang w:val="en-US" w:eastAsia="zh-CN"/>
              </w:rPr>
              <w:t>意外住院津贴免赔天数0天</w:t>
            </w:r>
          </w:p>
        </w:tc>
      </w:tr>
      <w:tr w14:paraId="3FC3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9" w:type="dxa"/>
            <w:gridSpan w:val="2"/>
            <w:shd w:val="clear" w:color="auto" w:fill="auto"/>
          </w:tcPr>
          <w:p w14:paraId="0844FAFD">
            <w:pPr>
              <w:pStyle w:val="14"/>
              <w:spacing w:line="360" w:lineRule="exact"/>
              <w:ind w:firstLine="0" w:firstLineChars="0"/>
              <w:rPr>
                <w:rFonts w:hint="eastAsia" w:asciiTheme="minorEastAsia" w:hAnsiTheme="minorEastAsia" w:eastAsiaTheme="minorEastAsia"/>
                <w:b/>
                <w:sz w:val="20"/>
                <w:szCs w:val="20"/>
                <w:lang w:val="en-US" w:eastAsia="zh-Hans"/>
              </w:rPr>
            </w:pPr>
            <w:r>
              <w:rPr>
                <w:rFonts w:hint="eastAsia" w:asciiTheme="minorEastAsia" w:hAnsiTheme="minorEastAsia" w:eastAsiaTheme="minorEastAsia"/>
                <w:b/>
                <w:sz w:val="20"/>
                <w:szCs w:val="20"/>
                <w:lang w:val="en-US" w:eastAsia="zh-Hans"/>
              </w:rPr>
              <w:t>保费公式</w:t>
            </w:r>
          </w:p>
        </w:tc>
        <w:tc>
          <w:tcPr>
            <w:tcW w:w="7073" w:type="dxa"/>
            <w:gridSpan w:val="4"/>
            <w:shd w:val="clear" w:color="auto" w:fill="auto"/>
          </w:tcPr>
          <w:p w14:paraId="66C8B355">
            <w:pPr>
              <w:pStyle w:val="14"/>
              <w:spacing w:line="360" w:lineRule="exact"/>
              <w:ind w:firstLine="0" w:firstLineChars="0"/>
              <w:rPr>
                <w:rFonts w:hint="eastAsia" w:ascii="宋体" w:hAnsi="宋体" w:eastAsiaTheme="minorEastAsia"/>
                <w:b w:val="0"/>
                <w:bCs w:val="0"/>
                <w:sz w:val="20"/>
                <w:szCs w:val="20"/>
                <w:lang w:val="en-US" w:eastAsia="zh-Hans"/>
              </w:rPr>
            </w:pPr>
            <w:r>
              <w:rPr>
                <w:rFonts w:hint="eastAsia" w:ascii="宋体" w:hAnsi="宋体" w:eastAsia="宋体" w:cs="宋体"/>
                <w:b w:val="0"/>
                <w:kern w:val="2"/>
                <w:sz w:val="20"/>
                <w:szCs w:val="20"/>
                <w:lang w:val="en-US" w:eastAsia="zh-Hans" w:bidi="ar-SA"/>
              </w:rPr>
              <w:t>总保费</w:t>
            </w:r>
            <w:r>
              <w:rPr>
                <w:rFonts w:hint="default" w:ascii="宋体" w:hAnsi="宋体" w:eastAsia="宋体" w:cs="宋体"/>
                <w:b w:val="0"/>
                <w:kern w:val="2"/>
                <w:sz w:val="20"/>
                <w:szCs w:val="20"/>
                <w:lang w:eastAsia="zh-Hans" w:bidi="ar-SA"/>
              </w:rPr>
              <w:t>=</w:t>
            </w:r>
            <w:r>
              <w:rPr>
                <w:rFonts w:hint="eastAsia" w:ascii="宋体" w:hAnsi="宋体" w:eastAsia="宋体" w:cs="宋体"/>
                <w:b w:val="0"/>
                <w:kern w:val="2"/>
                <w:sz w:val="20"/>
                <w:szCs w:val="20"/>
                <w:lang w:val="en-US" w:eastAsia="zh-Hans" w:bidi="ar-SA"/>
              </w:rPr>
              <w:t>单价</w:t>
            </w:r>
            <w:r>
              <w:rPr>
                <w:rFonts w:hint="default" w:ascii="宋体" w:hAnsi="宋体" w:eastAsia="宋体" w:cs="宋体"/>
                <w:b w:val="0"/>
                <w:kern w:val="2"/>
                <w:sz w:val="20"/>
                <w:szCs w:val="20"/>
                <w:lang w:eastAsia="zh-Hans" w:bidi="ar-SA"/>
              </w:rPr>
              <w:t>*</w:t>
            </w:r>
            <w:r>
              <w:rPr>
                <w:rFonts w:hint="eastAsia" w:ascii="宋体" w:hAnsi="宋体" w:eastAsia="宋体" w:cs="宋体"/>
                <w:b w:val="0"/>
                <w:kern w:val="2"/>
                <w:sz w:val="20"/>
                <w:szCs w:val="20"/>
                <w:lang w:val="en-US" w:eastAsia="zh-Hans" w:bidi="ar-SA"/>
              </w:rPr>
              <w:t>总人数</w:t>
            </w:r>
            <w:r>
              <w:rPr>
                <w:rFonts w:hint="default" w:ascii="宋体" w:hAnsi="宋体" w:eastAsia="宋体" w:cs="宋体"/>
                <w:b w:val="0"/>
                <w:kern w:val="2"/>
                <w:sz w:val="20"/>
                <w:szCs w:val="20"/>
                <w:lang w:eastAsia="zh-Hans" w:bidi="ar-SA"/>
              </w:rPr>
              <w:t>，</w:t>
            </w:r>
            <w:r>
              <w:rPr>
                <w:rFonts w:hint="default" w:ascii="宋体" w:hAnsi="宋体" w:eastAsia="宋体" w:cs="宋体"/>
                <w:b w:val="0"/>
                <w:kern w:val="2"/>
                <w:sz w:val="20"/>
                <w:szCs w:val="20"/>
                <w:lang w:val="en-US" w:eastAsia="zh-Hans" w:bidi="ar-SA"/>
              </w:rPr>
              <w:t>新增加人员享受同样的承保方案及</w:t>
            </w:r>
            <w:r>
              <w:rPr>
                <w:rFonts w:hint="eastAsia" w:ascii="宋体" w:hAnsi="宋体" w:eastAsia="宋体" w:cs="宋体"/>
                <w:b w:val="0"/>
                <w:kern w:val="2"/>
                <w:sz w:val="20"/>
                <w:szCs w:val="20"/>
                <w:lang w:val="en-US" w:eastAsia="zh-Hans" w:bidi="ar-SA"/>
              </w:rPr>
              <w:t>单价</w:t>
            </w:r>
            <w:r>
              <w:rPr>
                <w:rFonts w:hint="default" w:ascii="宋体" w:hAnsi="宋体" w:eastAsia="宋体" w:cs="宋体"/>
                <w:b w:val="0"/>
                <w:kern w:val="2"/>
                <w:sz w:val="20"/>
                <w:szCs w:val="20"/>
                <w:lang w:val="en-US" w:eastAsia="zh-Hans" w:bidi="ar-SA"/>
              </w:rPr>
              <w:t>。</w:t>
            </w:r>
          </w:p>
        </w:tc>
      </w:tr>
    </w:tbl>
    <w:p w14:paraId="68880714">
      <w:pPr>
        <w:rPr>
          <w:rFonts w:hint="eastAsia" w:cs="Times New Roman" w:asciiTheme="minorEastAsia" w:hAnsiTheme="minorEastAsia" w:eastAsiaTheme="minorEastAsia"/>
          <w:b/>
          <w:color w:val="FFFFFF" w:themeColor="background1"/>
          <w:kern w:val="2"/>
          <w:sz w:val="28"/>
          <w:szCs w:val="28"/>
          <w:lang w:val="en-US" w:eastAsia="zh-CN" w:bidi="ar-SA"/>
          <w14:textFill>
            <w14:solidFill>
              <w14:schemeClr w14:val="bg1"/>
            </w14:solidFill>
          </w14:textFill>
        </w:rPr>
      </w:pPr>
      <w:r>
        <w:rPr>
          <w:rFonts w:hint="eastAsia" w:cs="Times New Roman" w:asciiTheme="minorEastAsia" w:hAnsiTheme="minorEastAsia" w:eastAsiaTheme="minorEastAsia"/>
          <w:b/>
          <w:color w:val="FFFFFF" w:themeColor="background1"/>
          <w:kern w:val="2"/>
          <w:sz w:val="28"/>
          <w:szCs w:val="28"/>
          <w:lang w:val="en-US" w:eastAsia="zh-CN" w:bidi="ar-SA"/>
          <w14:textFill>
            <w14:solidFill>
              <w14:schemeClr w14:val="bg1"/>
            </w14:solidFill>
          </w14:textFill>
        </w:rPr>
        <w:br w:type="page"/>
      </w:r>
    </w:p>
    <w:p w14:paraId="14530BB7">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left"/>
        <w:textAlignment w:val="baseline"/>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w:t>
      </w:r>
    </w:p>
    <w:p w14:paraId="746393B4">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center"/>
        <w:textAlignment w:val="baseline"/>
        <w:outlineLvl w:val="1"/>
        <w:rPr>
          <w:rFonts w:ascii="宋体" w:hAnsi="宋体" w:eastAsia="宋体" w:cs="宋体"/>
          <w:color w:val="000000"/>
          <w:kern w:val="0"/>
          <w:sz w:val="21"/>
          <w:szCs w:val="21"/>
        </w:rPr>
      </w:pPr>
      <w:r>
        <w:rPr>
          <w:rFonts w:hint="eastAsia" w:ascii="宋体" w:hAnsi="宋体" w:eastAsia="宋体" w:cs="宋体"/>
          <w:sz w:val="21"/>
          <w:szCs w:val="21"/>
        </w:rPr>
        <w:t>团体意外伤害保险条款</w:t>
      </w:r>
    </w:p>
    <w:p w14:paraId="4C8BB5D6">
      <w:pPr>
        <w:widowControl/>
        <w:adjustRightInd w:val="0"/>
        <w:snapToGrid w:val="0"/>
        <w:spacing w:line="300" w:lineRule="exact"/>
        <w:jc w:val="center"/>
        <w:rPr>
          <w:rFonts w:ascii="宋体" w:hAnsi="宋体" w:cs="宋体"/>
          <w:b/>
          <w:bCs/>
          <w:szCs w:val="21"/>
        </w:rPr>
      </w:pPr>
      <w:r>
        <w:rPr>
          <w:rFonts w:hint="eastAsia" w:ascii="宋体" w:hAnsi="宋体" w:cs="宋体"/>
          <w:b/>
          <w:bCs/>
          <w:color w:val="000000"/>
          <w:kern w:val="0"/>
          <w:szCs w:val="21"/>
        </w:rPr>
        <w:t>总则</w:t>
      </w:r>
    </w:p>
    <w:p w14:paraId="0B9EEA21">
      <w:pPr>
        <w:widowControl/>
        <w:adjustRightInd w:val="0"/>
        <w:snapToGrid w:val="0"/>
        <w:spacing w:line="300" w:lineRule="exact"/>
        <w:ind w:firstLine="422" w:firstLineChars="200"/>
        <w:rPr>
          <w:rFonts w:ascii="宋体" w:hAnsi="宋体" w:cs="宋体"/>
          <w:szCs w:val="21"/>
        </w:rPr>
      </w:pPr>
      <w:r>
        <w:rPr>
          <w:rFonts w:hint="eastAsia" w:ascii="宋体" w:hAnsi="宋体" w:cs="宋体"/>
          <w:b/>
          <w:bCs/>
          <w:color w:val="000000"/>
          <w:kern w:val="0"/>
          <w:szCs w:val="21"/>
        </w:rPr>
        <w:t>第一条</w:t>
      </w:r>
      <w:r>
        <w:rPr>
          <w:rFonts w:hint="eastAsia" w:ascii="宋体" w:hAnsi="宋体" w:cs="宋体"/>
          <w:color w:val="000000"/>
          <w:kern w:val="0"/>
          <w:szCs w:val="21"/>
        </w:rPr>
        <w:t xml:space="preserve"> 本保险合同（以下简称“本合同”）由保险条款、投保单、与本合同有关的其他投保文件、</w:t>
      </w:r>
      <w:r>
        <w:rPr>
          <w:rFonts w:hint="eastAsia" w:ascii="宋体" w:hAnsi="宋体" w:cs="宋体"/>
          <w:color w:val="000000"/>
          <w:spacing w:val="5"/>
          <w:kern w:val="0"/>
          <w:szCs w:val="21"/>
        </w:rPr>
        <w:t>被保险人清单、</w:t>
      </w:r>
      <w:r>
        <w:rPr>
          <w:rFonts w:hint="eastAsia" w:ascii="宋体" w:hAnsi="宋体" w:cs="宋体"/>
          <w:color w:val="000000"/>
          <w:kern w:val="0"/>
          <w:szCs w:val="21"/>
        </w:rPr>
        <w:t>保险单或者其他保险凭证、声明、批注、附贴批单以及其他有效文件构成。凡涉及本合同的约定，均应当采用书面形式。</w:t>
      </w:r>
    </w:p>
    <w:p w14:paraId="0308E945">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第二条</w:t>
      </w:r>
      <w:r>
        <w:rPr>
          <w:rFonts w:hint="eastAsia" w:ascii="宋体" w:hAnsi="宋体" w:cs="宋体"/>
          <w:color w:val="000000"/>
          <w:kern w:val="0"/>
          <w:szCs w:val="21"/>
        </w:rPr>
        <w:t>投保时年龄在三周岁至七十周岁间（含）,身体健康，能正常工作或者正常生活的自然人，可作为本合同的被保险人。</w:t>
      </w:r>
    </w:p>
    <w:p w14:paraId="0BBA78C7">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第三条</w:t>
      </w:r>
      <w:r>
        <w:rPr>
          <w:rFonts w:hint="eastAsia" w:ascii="宋体" w:hAnsi="宋体" w:cs="宋体"/>
          <w:color w:val="000000"/>
          <w:kern w:val="0"/>
          <w:szCs w:val="21"/>
        </w:rPr>
        <w:t xml:space="preserve"> 对被保险人具有保险利益的机关、企业、事业单位和社会团体等组织，可作为本合同的投保人。</w:t>
      </w:r>
    </w:p>
    <w:p w14:paraId="4C69CD1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第四条</w:t>
      </w:r>
      <w:r>
        <w:rPr>
          <w:rFonts w:hint="eastAsia" w:ascii="宋体" w:hAnsi="宋体" w:cs="宋体"/>
          <w:color w:val="000000"/>
          <w:kern w:val="0"/>
          <w:szCs w:val="21"/>
        </w:rPr>
        <w:t>本合同的受益人包括：</w:t>
      </w:r>
    </w:p>
    <w:p w14:paraId="70C1C6E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（一）意外身故保险金受益人</w:t>
      </w:r>
    </w:p>
    <w:p w14:paraId="636EB2D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订立本合同时，被保险人或者投保人可指定一人或者数人为意外身故保险金受益人，但投保人指定意外身故保险金受益人时须经被保险人同意。意外身故保险金受益人为数人的，应当确定受益顺序和受益份额；未确定受益份额的，各受益人按照相等份额享有受益权。</w:t>
      </w:r>
    </w:p>
    <w:p w14:paraId="75B9EF0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被保险人死亡后，有下列情形之一的，意外身故保险金作为被保险人的遗产，由保险人依照《中华人民共和国继承法》的规定履行给付保险金的义务：</w:t>
      </w:r>
    </w:p>
    <w:p w14:paraId="70D079C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1．没有指定受益人，或者受益人指定不明无法确定的；</w:t>
      </w:r>
    </w:p>
    <w:p w14:paraId="5B21CBD8">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2．受益人先于被保险人死亡，没有其他受益人的；</w:t>
      </w:r>
    </w:p>
    <w:p w14:paraId="5FECD18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3．受益人依法丧失受益权或者放弃受益权，没有其他受益人的。</w:t>
      </w:r>
    </w:p>
    <w:p w14:paraId="6D2CD40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受益人与被保险人在同一事件中死亡，且不能确定死亡先后顺序的，推定受益人死亡在先。</w:t>
      </w:r>
    </w:p>
    <w:p w14:paraId="217346B5">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投保人为与其有劳动关系的劳动者投保人身保险，不得指定被保险人及其近亲属以外的人为受益人。</w:t>
      </w:r>
    </w:p>
    <w:p w14:paraId="086551AA">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被保险人或者投保人可以变更意外身故保险金受益人，但需书面通知保险人，由保险人在本合同上批注或者附贴批单。对因意外身故保险金受益人变更发生的法律纠纷，保险人不承担任何责任。</w:t>
      </w:r>
    </w:p>
    <w:p w14:paraId="6029086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（二）意外伤残保险金受益人</w:t>
      </w:r>
    </w:p>
    <w:p w14:paraId="5286C3B9">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除本合同另有约定外，本合同的意外伤残保险金的受益人为被保险人本人。</w:t>
      </w:r>
    </w:p>
    <w:p w14:paraId="47E5425F">
      <w:pPr>
        <w:widowControl/>
        <w:adjustRightInd w:val="0"/>
        <w:snapToGrid w:val="0"/>
        <w:spacing w:line="300" w:lineRule="exact"/>
        <w:rPr>
          <w:rFonts w:ascii="宋体" w:hAnsi="宋体" w:cs="宋体"/>
          <w:b/>
          <w:bCs/>
          <w:szCs w:val="21"/>
        </w:rPr>
      </w:pPr>
      <w:r>
        <w:rPr>
          <w:rFonts w:hint="eastAsia" w:ascii="宋体" w:hAnsi="宋体" w:cs="宋体"/>
          <w:b/>
          <w:bCs/>
          <w:color w:val="000000"/>
          <w:kern w:val="0"/>
          <w:szCs w:val="21"/>
        </w:rPr>
        <w:t>保险责任</w:t>
      </w:r>
    </w:p>
    <w:p w14:paraId="12BF00BB">
      <w:pPr>
        <w:widowControl/>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第五条</w:t>
      </w:r>
      <w:r>
        <w:rPr>
          <w:rFonts w:hint="eastAsia" w:ascii="宋体" w:hAnsi="宋体" w:cs="宋体"/>
          <w:color w:val="000000"/>
          <w:kern w:val="0"/>
          <w:szCs w:val="21"/>
        </w:rPr>
        <w:t>在保险期间内，被保险人因遭受意外而身故或者伤残的，保险人按下列约定承担保险责任：</w:t>
      </w:r>
    </w:p>
    <w:p w14:paraId="36CDA5C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（一）意外身故保险责任</w:t>
      </w:r>
    </w:p>
    <w:p w14:paraId="2E15BEBE">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被保险人自遭受该意外之日起一百八十日内以该意外为直接、完全原因而身故的，保险人按本合同载明的该被保险人的意外伤害保险金额给付意外身故保险金，同时本合同约定的对该被保险人的保险责任终止。</w:t>
      </w:r>
    </w:p>
    <w:p w14:paraId="2CC6A6FA">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因遭受该意外而下落不明，后经法院宣告死亡的，保险人按本合同载明的该被保险人的意外伤害保险金额给付意外身故保险金，同时本合同约定的对该被保险人的保险责任终止。但若该被保险人生还，保险金申请人应当于知道或者应当知道被保险人生还后三十日内退还保险人已给付的意外身故保险金，然后本合同约定的对该被保险人的保险责任应当视为未因该次宣告死亡而终止；保险金申请人未在三十日内退还的，保险人有权追索。</w:t>
      </w:r>
    </w:p>
    <w:p w14:paraId="5297E61A">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被保险人身故或者被宣告死亡前，保险人根据本合同针对其已给付意外伤残保险金的，意外身故保险金应当扣除已给付金额。</w:t>
      </w:r>
    </w:p>
    <w:p w14:paraId="0D2A2D8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（二）意外伤残保险责任</w:t>
      </w:r>
    </w:p>
    <w:p w14:paraId="0D8E1D8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自遭受该意外之日起一百八十日内以该意外为直接、完全原因而导致《人身保险伤残评定标准及代码》中所列伤残之一的，保险人按《人身保险伤残评定标准及代码》中与该项伤残对应的给付比例和该被保险人的意外伤害保险金额的乘积给付意外伤残保险金。若至该意外发生之日起第一百八十日该被保险人的伤残程度仍未完全确定，保险人根据该意外发生之日起第一百八十日该被保险人的身体情况进行伤残鉴定，并据此给付意外伤残保险金。</w:t>
      </w:r>
    </w:p>
    <w:p w14:paraId="7CF5640E">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kern w:val="0"/>
          <w:szCs w:val="21"/>
        </w:rPr>
        <w:t>人身保险伤残程度等级相对应的保险金给付比例分为十档，伤残程度第一级对应的保险金给付比例为100%，伤残程度第十级对应的保险金给付比例为10%，每级相差10%。</w:t>
      </w:r>
    </w:p>
    <w:p w14:paraId="119C0C17">
      <w:pPr>
        <w:widowControl/>
        <w:adjustRightInd w:val="0"/>
        <w:snapToGrid w:val="0"/>
        <w:spacing w:line="300" w:lineRule="exact"/>
        <w:ind w:firstLine="440" w:firstLineChars="200"/>
        <w:rPr>
          <w:rFonts w:ascii="宋体" w:hAnsi="宋体" w:cs="宋体"/>
          <w:color w:val="000000"/>
          <w:spacing w:val="5"/>
          <w:szCs w:val="21"/>
        </w:rPr>
      </w:pPr>
      <w:r>
        <w:rPr>
          <w:rFonts w:hint="eastAsia" w:ascii="宋体" w:hAnsi="宋体" w:cs="宋体"/>
          <w:color w:val="000000"/>
          <w:spacing w:val="5"/>
          <w:kern w:val="0"/>
          <w:szCs w:val="21"/>
        </w:rPr>
        <w:t>保险人根据本合同针对每一被保险人给付的意外身故保险金、意外伤残保险金累计以其意外伤害保险金额为上限，当达到该限额时，本合同约定的对该被保险人的意外伤害保险责任终止。</w:t>
      </w:r>
    </w:p>
    <w:p w14:paraId="675D3F08">
      <w:pPr>
        <w:widowControl/>
        <w:adjustRightInd w:val="0"/>
        <w:snapToGrid w:val="0"/>
        <w:spacing w:line="300" w:lineRule="exact"/>
        <w:rPr>
          <w:rFonts w:ascii="宋体" w:hAnsi="宋体" w:cs="宋体"/>
          <w:b/>
          <w:bCs/>
          <w:color w:val="000000"/>
          <w:spacing w:val="5"/>
          <w:szCs w:val="21"/>
        </w:rPr>
      </w:pPr>
      <w:r>
        <w:rPr>
          <w:rFonts w:hint="eastAsia" w:ascii="宋体" w:hAnsi="宋体" w:cs="宋体"/>
          <w:b/>
          <w:bCs/>
          <w:color w:val="000000"/>
          <w:spacing w:val="5"/>
          <w:kern w:val="0"/>
          <w:szCs w:val="21"/>
        </w:rPr>
        <w:t>责任免除</w:t>
      </w:r>
    </w:p>
    <w:p w14:paraId="0A0F745E">
      <w:pPr>
        <w:widowControl/>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第六条 因下列任何原因造成被保险人身故或者伤残的，保险人不承担给付保险金的责任：</w:t>
      </w:r>
    </w:p>
    <w:p w14:paraId="7D1A8987">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（一）投保前已有的伤害；</w:t>
      </w:r>
    </w:p>
    <w:p w14:paraId="392F2102">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 xml:space="preserve">（二）投保人的故意行为，被保险人自致伤害或者自杀； </w:t>
      </w:r>
    </w:p>
    <w:p w14:paraId="4CB12991">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（三）被保险人猝死；</w:t>
      </w:r>
    </w:p>
    <w:p w14:paraId="5DF8D8B3">
      <w:pPr>
        <w:widowControl/>
        <w:tabs>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（四）从事违法犯罪活动或者拒捕，因被保险人挑衅或者故意行为导致争执、打斗而引发意外或者因此被攻击、被伤害或者被杀害；</w:t>
      </w:r>
    </w:p>
    <w:p w14:paraId="48648D91">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（五）未遵医嘱而私自服用、涂用或者注射药物，药物过敏，细菌或者病毒感染（意外导致的伤口感染不在此限），医疗事故；</w:t>
      </w:r>
    </w:p>
    <w:p w14:paraId="790079AC">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（六）怀孕（含宫外孕）、流产、分娩（含剖腹产）、避孕、绝育手术、治疗不孕症、人工受孕以及由此导致的并发症，但意外所致的流产、分娩不在此限；</w:t>
      </w:r>
    </w:p>
    <w:p w14:paraId="603582BC">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（七）从事潜水、跳伞、攀岩、探险、武术比赛、摔跤、特技、赛马、赛车或者蹦极以及其他风险程度类似的高风险活动，竞技性、职业性运动，但本合同另有约定的不在此限；</w:t>
      </w:r>
    </w:p>
    <w:p w14:paraId="5C6E7844">
      <w:pPr>
        <w:widowControl/>
        <w:tabs>
          <w:tab w:val="left" w:pos="1620"/>
          <w:tab w:val="left" w:pos="180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（八）非因意外而下落不明；</w:t>
      </w:r>
    </w:p>
    <w:p w14:paraId="5B8B9282">
      <w:pPr>
        <w:widowControl/>
        <w:tabs>
          <w:tab w:val="left" w:pos="1260"/>
          <w:tab w:val="left" w:pos="1440"/>
          <w:tab w:val="left" w:pos="1620"/>
          <w:tab w:val="left" w:pos="1800"/>
          <w:tab w:val="left" w:pos="1980"/>
          <w:tab w:val="left" w:pos="216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（九）任何生物、化学、核武器，核能装置造成的爆炸、灼伤、污染或者辐射，恐怖主义活动，邪教组织活动。</w:t>
      </w:r>
    </w:p>
    <w:p w14:paraId="43917F58">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第七条 被保险人在下列任何期间遭受意外而致身故或者伤残的，保险人不承担给付保险金的责任：</w:t>
      </w:r>
    </w:p>
    <w:p w14:paraId="732C6484">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（一）醉酒或者受酒精、毒品或者管制药品的影响期间；</w:t>
      </w:r>
    </w:p>
    <w:p w14:paraId="35C719CE">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（二）被司法机关采取强制措施期间或者被判入狱期间；</w:t>
      </w:r>
    </w:p>
    <w:p w14:paraId="276158E6">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（三）精神和行为障碍(以世界卫生组织颁布的《疾病和有关健康问题的国际统计分类(ICD-10)》为准)或者癫痫发作期间，感染艾滋病（AIDS）或者感染艾滋病病毒（HIV阳性）期间；</w:t>
      </w:r>
    </w:p>
    <w:p w14:paraId="49B4EE92">
      <w:pPr>
        <w:widowControl/>
        <w:tabs>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（四）酒后驾驶、无有效驾驶证驾驶或者驾驶无有效行驶证的机动交通工具期间；</w:t>
      </w:r>
    </w:p>
    <w:p w14:paraId="1EDED6D6">
      <w:pPr>
        <w:widowControl/>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（五）战争、军事行动、暴动或者武装叛乱期间。</w:t>
      </w:r>
    </w:p>
    <w:p w14:paraId="2C670C28">
      <w:pPr>
        <w:widowControl/>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第八条 若发生归于本保险条款“责任免除”部分的被保险人身故，本合同约定的对该被保险人的保险责任终止，除因“投保人的故意行为”造成被保险人身故外，保险人退还相应未满期保险费。</w:t>
      </w:r>
    </w:p>
    <w:p w14:paraId="757831F9">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保险金额和保险费</w:t>
      </w:r>
    </w:p>
    <w:p w14:paraId="365C6EAA">
      <w:pPr>
        <w:widowControl/>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 xml:space="preserve">第九条 </w:t>
      </w:r>
      <w:r>
        <w:rPr>
          <w:rFonts w:hint="eastAsia" w:ascii="宋体" w:hAnsi="宋体" w:cs="宋体"/>
          <w:color w:val="000000"/>
          <w:kern w:val="0"/>
          <w:szCs w:val="21"/>
        </w:rPr>
        <w:t>每一被保险人的意外伤害保险金额由投保人与保险人约定，并于本合同中载明。</w:t>
      </w:r>
    </w:p>
    <w:p w14:paraId="1D036288">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第十条</w:t>
      </w:r>
      <w:r>
        <w:rPr>
          <w:rFonts w:hint="eastAsia" w:ascii="宋体" w:hAnsi="宋体" w:cs="宋体"/>
          <w:color w:val="000000"/>
          <w:kern w:val="0"/>
          <w:szCs w:val="21"/>
        </w:rPr>
        <w:t xml:space="preserve"> 保险费应当由投保人于订立本合同时一次交清。在投保人交清保险费前，保险人不承担保险责任。</w:t>
      </w:r>
    </w:p>
    <w:p w14:paraId="45B02597">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保险期间</w:t>
      </w:r>
    </w:p>
    <w:p w14:paraId="111970D9">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第十一条 </w:t>
      </w:r>
      <w:r>
        <w:rPr>
          <w:rFonts w:hint="eastAsia" w:ascii="宋体" w:hAnsi="宋体" w:cs="宋体"/>
          <w:color w:val="000000"/>
          <w:kern w:val="0"/>
          <w:szCs w:val="21"/>
        </w:rPr>
        <w:t>保险期间的起讫时间由投保人与保险人约定，并于本合同中载明。</w:t>
      </w:r>
    </w:p>
    <w:p w14:paraId="13B3A09A">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保险人义务</w:t>
      </w:r>
    </w:p>
    <w:p w14:paraId="5C15C888">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第十二条 </w:t>
      </w:r>
      <w:r>
        <w:rPr>
          <w:rFonts w:hint="eastAsia" w:ascii="宋体" w:hAnsi="宋体" w:cs="宋体"/>
          <w:color w:val="000000"/>
          <w:kern w:val="0"/>
          <w:szCs w:val="21"/>
        </w:rPr>
        <w:t>保险人同意承保的，应当及时向投保人签发保险单或者其他保险凭证。</w:t>
      </w:r>
    </w:p>
    <w:p w14:paraId="195DD392">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第十三条 </w:t>
      </w:r>
      <w:r>
        <w:rPr>
          <w:rFonts w:hint="eastAsia" w:ascii="宋体" w:hAnsi="宋体" w:cs="宋体"/>
          <w:color w:val="000000"/>
          <w:kern w:val="0"/>
          <w:szCs w:val="21"/>
        </w:rPr>
        <w:t>保险人认为保险金申请人提供的有关索赔的证明和资料不完整的，应当及时一次性通知保险金申请人补充提供。</w:t>
      </w:r>
    </w:p>
    <w:p w14:paraId="6D7F26D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第十四条 </w:t>
      </w:r>
      <w:r>
        <w:rPr>
          <w:rFonts w:hint="eastAsia" w:ascii="宋体" w:hAnsi="宋体" w:cs="宋体"/>
          <w:color w:val="000000"/>
          <w:kern w:val="0"/>
          <w:szCs w:val="21"/>
        </w:rPr>
        <w:t>保险人收到保险金申请人提供的本保险条款“保险金申请与给付”部分约定的保险金申请证明和资料后，应当及时作出是否属于保险责任的核定；情形复杂的，应当在六十日内作出核定。</w:t>
      </w:r>
    </w:p>
    <w:p w14:paraId="336B822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保险人应当将核定结果通知保险金申请人。对属于保险责任的，在与保险金申请人达成给付保险金的协议后十日内，履行给付保险金的义务；对不属于保险责任的，应当自作出核定之日起三日内向保险金申请人发出拒绝给付保险金通知书，并说明理由。</w:t>
      </w:r>
    </w:p>
    <w:p w14:paraId="644B0B6A">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第十五条 </w:t>
      </w:r>
      <w:r>
        <w:rPr>
          <w:rFonts w:hint="eastAsia" w:ascii="宋体" w:hAnsi="宋体" w:cs="宋体"/>
          <w:color w:val="000000"/>
          <w:kern w:val="0"/>
          <w:szCs w:val="21"/>
        </w:rPr>
        <w:t>保险人自收到保险金申请人提供的本保险条款“保险金申请与给付”部分约定的保险金申请证明和资料之日起六十日内，对其给付保险金的数额不能确定的，应当按根据已有证明和资料可以确定的数额先予支付；保险人最终确定给付保险金的数额后，支付相应的差额。</w:t>
      </w:r>
    </w:p>
    <w:p w14:paraId="6BB39009">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投保人、被保险人义务</w:t>
      </w:r>
    </w:p>
    <w:p w14:paraId="1EA22655">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第十六条 </w:t>
      </w:r>
      <w:r>
        <w:rPr>
          <w:rFonts w:hint="eastAsia" w:ascii="宋体" w:hAnsi="宋体" w:cs="宋体"/>
          <w:color w:val="000000"/>
          <w:kern w:val="0"/>
          <w:szCs w:val="21"/>
        </w:rPr>
        <w:t>投保人应当在订立本合同时交清保险费。</w:t>
      </w:r>
    </w:p>
    <w:p w14:paraId="339350FE">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第十七条 </w:t>
      </w:r>
      <w:r>
        <w:rPr>
          <w:rFonts w:hint="eastAsia" w:ascii="宋体" w:hAnsi="宋体" w:cs="宋体"/>
          <w:color w:val="000000"/>
          <w:kern w:val="0"/>
          <w:szCs w:val="21"/>
        </w:rPr>
        <w:t>订立本合同时，保险人就被保险人的有关情况提出询问的，投保人、被保险人应当如实告知。</w:t>
      </w:r>
    </w:p>
    <w:p w14:paraId="5AE01D32">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投保人、被保险人故意或者因重大过失未履行前款规定的义务，足以影响保险人决定是否同意承保或者提高保险费率的，保险人有权解除本合同。</w:t>
      </w:r>
    </w:p>
    <w:p w14:paraId="67019159">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前款规定的合同解除权，自保险人知道有解除事由之日起，超过三十日不行使而消灭。自本合同成立之日起超过二年的，保险人不得解除合同；发生保险事故的，保险人应当承担给付保险金的责任。</w:t>
      </w:r>
    </w:p>
    <w:p w14:paraId="0389FA9D">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投保人、被保险人故意不履行如实告知义务的，保险人对于本合同解除前发生的保险事故，不承担给付保险金的责任，并不退还保险费。</w:t>
      </w:r>
    </w:p>
    <w:p w14:paraId="7C047B55">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投保人、被保险人因重大过失未履行如实告知义务，对保险事故的发生有严重影响的，保险人对于本合同解除前发生的保险事故，不承担给付保险金的责任，但退还保险费。</w:t>
      </w:r>
    </w:p>
    <w:p w14:paraId="2B24D18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保险人在本合同订立时已经知道投保人、被保险人未如实告知的情况的，保险人不得解除本合同；发生保险事故的，保险人承担给付保险金的责任。</w:t>
      </w:r>
    </w:p>
    <w:p w14:paraId="53807EB7">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 xml:space="preserve">第十八条 </w:t>
      </w:r>
      <w:r>
        <w:rPr>
          <w:rFonts w:hint="eastAsia" w:ascii="宋体" w:hAnsi="宋体" w:cs="宋体"/>
          <w:color w:val="000000"/>
          <w:kern w:val="0"/>
          <w:szCs w:val="21"/>
        </w:rPr>
        <w:t>被保险人变更职业或者工种时，投保人或者被保险人应当在变更之日起十日内以书面形式通知保险人。</w:t>
      </w:r>
    </w:p>
    <w:p w14:paraId="1480EC2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变更后的职业或者工种经保险人审核不可继续承保的，保险人在接到通知后追溯自变更之日起终止对相应被保险人的保险责任并退还未满期保险费。被保险人变更后的职业或者工种经保险人审核可继续承保的，保险人按照变更之日退还未满期保险费，并按日比例收取与变更后的职业或者工种所对应的保险费。</w:t>
      </w:r>
    </w:p>
    <w:p w14:paraId="0B54EB9E">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被保险人变更后的职业或者工种危险性增加且未依前款约定通知保险人，发生保险事故的，保险人按其原交保险费与变更后的职业或者工种所对应保险费的比例给付保险金，</w:t>
      </w:r>
      <w:r>
        <w:rPr>
          <w:rFonts w:hint="eastAsia" w:ascii="宋体" w:hAnsi="宋体" w:cs="宋体"/>
          <w:b/>
          <w:bCs/>
          <w:color w:val="000000"/>
          <w:kern w:val="0"/>
          <w:szCs w:val="21"/>
        </w:rPr>
        <w:t>但被保险人变更后的职业或者工种经保险人审核不可继续承保的，保险人不承担给付保险金的责任</w:t>
      </w:r>
      <w:r>
        <w:rPr>
          <w:rFonts w:hint="eastAsia" w:ascii="宋体" w:hAnsi="宋体" w:cs="宋体"/>
          <w:color w:val="000000"/>
          <w:kern w:val="0"/>
          <w:szCs w:val="21"/>
        </w:rPr>
        <w:t>。</w:t>
      </w:r>
    </w:p>
    <w:p w14:paraId="3D369AFC">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第十九条 </w:t>
      </w:r>
      <w:r>
        <w:rPr>
          <w:rFonts w:hint="eastAsia" w:ascii="宋体" w:hAnsi="宋体" w:cs="宋体"/>
          <w:color w:val="000000"/>
          <w:kern w:val="0"/>
          <w:szCs w:val="21"/>
        </w:rPr>
        <w:t>在保险期间内，投保人因其人员变动，需增加、减少被保险人时，应当以书面形式向保险人提出申请。保险人同意后出具批单，并在本合同中批注。</w:t>
      </w:r>
    </w:p>
    <w:p w14:paraId="0ED5630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被保险人人数增加的，经保险人书面审核同意并按日加收保险费后，保险人自收到保险费后次日零时或者通知书载明的起始日期（以较晚者为准）开始对其承担保险责任。</w:t>
      </w:r>
    </w:p>
    <w:p w14:paraId="41FCE9F5">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被保险人人数减少的，保险人在审核同意后，于收到书面通知次日零时或者通知书载明的终止日期次日零时（以较晚者为准）起，对减少的被保险人终止保险责任，并相应退还未满期保险费，但保险人已根据本合同约定给付保险金的不退还未满期保险费。</w:t>
      </w:r>
    </w:p>
    <w:p w14:paraId="125114AD">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第二十条 </w:t>
      </w:r>
      <w:r>
        <w:rPr>
          <w:rFonts w:hint="eastAsia" w:ascii="宋体" w:hAnsi="宋体" w:cs="宋体"/>
          <w:color w:val="000000"/>
          <w:kern w:val="0"/>
          <w:szCs w:val="21"/>
        </w:rPr>
        <w:t>投保人、被保险人或者保险金申请人知道保险事故发生后，应当及时通知保险人。</w:t>
      </w:r>
      <w:r>
        <w:rPr>
          <w:rFonts w:hint="eastAsia" w:ascii="宋体" w:hAnsi="宋体" w:cs="宋体"/>
          <w:b/>
          <w:bCs/>
          <w:color w:val="000000"/>
          <w:kern w:val="0"/>
          <w:szCs w:val="21"/>
        </w:rPr>
        <w:t>故意或者因重大过失未及时通知，致使保险事故的性质、原因、损失程度等难以确定的，保险人对无法确定的部分，不承担给付保险金的责任</w:t>
      </w:r>
      <w:r>
        <w:rPr>
          <w:rFonts w:hint="eastAsia" w:ascii="宋体" w:hAnsi="宋体" w:cs="宋体"/>
          <w:color w:val="000000"/>
          <w:kern w:val="0"/>
          <w:szCs w:val="21"/>
        </w:rPr>
        <w:t>，但保险人通过其他途径已经及时知道或者应当及时知道保险事故发生的不在此限。</w:t>
      </w:r>
    </w:p>
    <w:p w14:paraId="69B9AB47">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上述约定，不包括因不可抗力而导致的迟延。</w:t>
      </w:r>
    </w:p>
    <w:p w14:paraId="0B9F902B">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第二十一条 </w:t>
      </w:r>
      <w:r>
        <w:rPr>
          <w:rFonts w:hint="eastAsia" w:ascii="宋体" w:hAnsi="宋体" w:cs="宋体"/>
          <w:color w:val="000000"/>
          <w:kern w:val="0"/>
          <w:szCs w:val="21"/>
        </w:rPr>
        <w:t>投保人住所或者通讯地址变更时，应当及时以书面形式通知保险人。投保人未及时通知的，保险人按本合同所载的最后住所或者通讯地址发送的有关通知，均视为已发送给投保人。</w:t>
      </w:r>
    </w:p>
    <w:p w14:paraId="0AB7B19C">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保险金申请与给付</w:t>
      </w:r>
    </w:p>
    <w:p w14:paraId="7EF09841">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 xml:space="preserve">第二十二条 </w:t>
      </w:r>
      <w:r>
        <w:rPr>
          <w:rFonts w:hint="eastAsia" w:ascii="宋体" w:hAnsi="宋体" w:cs="宋体"/>
          <w:color w:val="000000"/>
          <w:kern w:val="0"/>
          <w:szCs w:val="21"/>
        </w:rPr>
        <w:t>保险金申请人向保险人申请给付保险金时，应当以书面形式提交下列证明和资料。保险金申请人因特殊原因不能提供下列证明和资料的，应当提供其他合法、有效的证明和资料。</w:t>
      </w:r>
      <w:r>
        <w:rPr>
          <w:rFonts w:hint="eastAsia" w:ascii="宋体" w:hAnsi="宋体" w:cs="宋体"/>
          <w:b/>
          <w:bCs/>
          <w:color w:val="000000"/>
          <w:kern w:val="0"/>
          <w:szCs w:val="21"/>
        </w:rPr>
        <w:t>保险金申请人未能提供有关证明和资料，导致保险人无法核实该申请的真实性的，保险人对无法核实部分不承担给付保险金的责任</w:t>
      </w:r>
      <w:r>
        <w:rPr>
          <w:rFonts w:hint="eastAsia" w:ascii="宋体" w:hAnsi="宋体" w:cs="宋体"/>
          <w:color w:val="000000"/>
          <w:kern w:val="0"/>
          <w:szCs w:val="21"/>
        </w:rPr>
        <w:t>。</w:t>
      </w:r>
    </w:p>
    <w:p w14:paraId="66F0FB3E">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1．保险金给付申请书；</w:t>
      </w:r>
    </w:p>
    <w:p w14:paraId="3F1E658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2．保险合同原件；</w:t>
      </w:r>
    </w:p>
    <w:p w14:paraId="23E0351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3．保险金申请人的身份证明、户籍证明，若保险金申请人委托他人申请，还须提供受托人身份证明、授权委托书；</w:t>
      </w:r>
    </w:p>
    <w:p w14:paraId="69583E1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4．保险人认可的机构（包括公安部门）出具的意外事故证明；</w:t>
      </w:r>
    </w:p>
    <w:p w14:paraId="77613196">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5．申请意外身故保险金的，除第1至4项约定的证明和资料外，还须提供保险人认可的机构（包括公安部门）出具的被保险人身故证明、被保险人火化证明或者丧葬证明、户籍注销证明。若被保险人为宣告死亡，申请人还须提供法院出具的宣告死亡证明文件；</w:t>
      </w:r>
    </w:p>
    <w:p w14:paraId="5B7F6125">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6．申请意外伤残保险金的，除第1至4项约定的证明和资料外，还须提供</w:t>
      </w:r>
      <w:r>
        <w:rPr>
          <w:rFonts w:hint="eastAsia" w:ascii="宋体" w:hAnsi="宋体" w:cs="宋体"/>
          <w:kern w:val="0"/>
          <w:szCs w:val="21"/>
        </w:rPr>
        <w:t>二级以上（含）医疗机构或者司法鉴定机构根据《人身保险伤残评定标准及代码》</w:t>
      </w:r>
      <w:r>
        <w:rPr>
          <w:rFonts w:hint="eastAsia" w:ascii="宋体" w:hAnsi="宋体" w:cs="宋体"/>
          <w:color w:val="000000"/>
          <w:kern w:val="0"/>
          <w:szCs w:val="21"/>
        </w:rPr>
        <w:t>出具的伤残程度鉴定诊断书；</w:t>
      </w:r>
    </w:p>
    <w:p w14:paraId="20D9B849">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7．投保人、被保险人、保险金申请人所能提供的其他与确认事故的性质、原因、伤害程度等有关的证明和资料。</w:t>
      </w:r>
    </w:p>
    <w:p w14:paraId="63E7F6A0">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第二十三条</w:t>
      </w:r>
      <w:r>
        <w:rPr>
          <w:rFonts w:hint="eastAsia" w:ascii="宋体" w:hAnsi="宋体" w:cs="宋体"/>
          <w:color w:val="000000"/>
          <w:kern w:val="0"/>
          <w:szCs w:val="21"/>
        </w:rPr>
        <w:t xml:space="preserve"> 被保险人遭受保险事故的，保险人有权对投保人、被保险人、保险金申请人等进行调查和检查（包括提请作必要、合理的解剖检验），投保人、被保险人、保险金申请人等应当予以充分配合。</w:t>
      </w:r>
    </w:p>
    <w:p w14:paraId="76D4F6F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第二十四条 </w:t>
      </w:r>
      <w:r>
        <w:rPr>
          <w:rFonts w:hint="eastAsia" w:ascii="宋体" w:hAnsi="宋体" w:cs="宋体"/>
          <w:color w:val="000000"/>
          <w:kern w:val="0"/>
          <w:szCs w:val="21"/>
        </w:rPr>
        <w:t>保险金申请人向保险人请求给付保险金的诉讼时效期间为二年，自其知道或者应当知道保险事故发生之日起计算。</w:t>
      </w:r>
    </w:p>
    <w:p w14:paraId="65EDE4CE">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保险合同的变更与解除</w:t>
      </w:r>
    </w:p>
    <w:p w14:paraId="344A59C6">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 xml:space="preserve">第二十五条 </w:t>
      </w:r>
      <w:r>
        <w:rPr>
          <w:rFonts w:hint="eastAsia" w:ascii="宋体" w:hAnsi="宋体" w:cs="宋体"/>
          <w:color w:val="000000"/>
          <w:kern w:val="0"/>
          <w:szCs w:val="21"/>
        </w:rPr>
        <w:t>除本合同另有约定外，经投保人、保险人双方协商同意后，可变更本合同的有关内容，在本合同保险单或者其他保险凭证上加以批注或者附贴批单后生效，或者由投保人和保险人订立合同变更书面协议后生效。</w:t>
      </w:r>
    </w:p>
    <w:p w14:paraId="00A9E947">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第二十六条</w:t>
      </w:r>
      <w:r>
        <w:rPr>
          <w:rFonts w:hint="eastAsia" w:ascii="宋体" w:hAnsi="宋体" w:cs="宋体"/>
          <w:color w:val="000000"/>
          <w:kern w:val="0"/>
          <w:szCs w:val="21"/>
        </w:rPr>
        <w:t xml:space="preserve"> 发生以下任何情形的，保险人有权解除本合同或者终止对相应被保险人的保险责任，并不退还保险费：</w:t>
      </w:r>
    </w:p>
    <w:p w14:paraId="29932B3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1．未发生保险事故，保险金申请人谎称发生了保险事故，向保险人提出给付保险金请求；</w:t>
      </w:r>
    </w:p>
    <w:p w14:paraId="16253DF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2．投保人、被保险人故意制造保险事故。</w:t>
      </w:r>
    </w:p>
    <w:p w14:paraId="0651697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前款约定的任何情形致使保险人给付保险金或者支出费用的，投保人、被保险人或者保险金申请人应当退回或者赔偿。</w:t>
      </w:r>
    </w:p>
    <w:p w14:paraId="50FF65D5">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第二十七条 </w:t>
      </w:r>
      <w:r>
        <w:rPr>
          <w:rFonts w:hint="eastAsia" w:ascii="宋体" w:hAnsi="宋体" w:cs="宋体"/>
          <w:color w:val="000000"/>
          <w:kern w:val="0"/>
          <w:szCs w:val="21"/>
        </w:rPr>
        <w:t>在本合同成立后，投保人可以书面形式通知保险人解除本合同，但保险人根据本合同约定已给付保险金的除外。</w:t>
      </w:r>
    </w:p>
    <w:p w14:paraId="021C9DB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投保人解除本保险合同时，应当提供下列证明和资料：</w:t>
      </w:r>
    </w:p>
    <w:p w14:paraId="2DBFB3E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1．解除合同通知书；</w:t>
      </w:r>
    </w:p>
    <w:p w14:paraId="635017C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2．保险合同原件；</w:t>
      </w:r>
    </w:p>
    <w:p w14:paraId="66BA5F56">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3．投保人身份证明；</w:t>
      </w:r>
    </w:p>
    <w:p w14:paraId="3A728727">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4．保险费发票或者收据；</w:t>
      </w:r>
    </w:p>
    <w:p w14:paraId="69FEE72B">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5．保险人要求的其他有关证明和资料。</w:t>
      </w:r>
    </w:p>
    <w:p w14:paraId="3D48E7C3">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本合同的效力至保险人接到解除合同通知书之日二十四时或者通知书上载明的合同终止时间（以较晚者为准）终止。自收到前款约定的证明和资料之日起三十日内，保险人退还相应未满期净保险费。</w:t>
      </w:r>
    </w:p>
    <w:p w14:paraId="0FE840E9">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争议处理与法律适用</w:t>
      </w:r>
    </w:p>
    <w:p w14:paraId="090C3EB9">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第二十八条 </w:t>
      </w:r>
      <w:r>
        <w:rPr>
          <w:rFonts w:hint="eastAsia" w:ascii="宋体" w:hAnsi="宋体" w:cs="宋体"/>
          <w:color w:val="000000"/>
          <w:kern w:val="0"/>
          <w:szCs w:val="21"/>
        </w:rPr>
        <w:t>因履行本合同发生的争议，由当事人协商解决。协商不成的，提交本合同载明的仲裁机构仲裁；本合同未载明仲裁机构或者争议发生后未达成仲裁协议的，依法向人民法院起诉。</w:t>
      </w:r>
    </w:p>
    <w:p w14:paraId="19E4088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第二十九条 </w:t>
      </w:r>
      <w:r>
        <w:rPr>
          <w:rFonts w:hint="eastAsia" w:ascii="宋体" w:hAnsi="宋体" w:cs="宋体"/>
          <w:color w:val="000000"/>
          <w:kern w:val="0"/>
          <w:szCs w:val="21"/>
        </w:rPr>
        <w:t>与本合同有关的以及履行本合同产生的一切争议处理适用中华人民共和国法律（不包括港澳台地区法律）。</w:t>
      </w:r>
    </w:p>
    <w:p w14:paraId="04B899E0">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释义</w:t>
      </w:r>
    </w:p>
    <w:p w14:paraId="2763D65D">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周岁：</w:t>
      </w:r>
      <w:r>
        <w:rPr>
          <w:rFonts w:hint="eastAsia" w:ascii="宋体" w:hAnsi="宋体" w:cs="宋体"/>
          <w:color w:val="000000"/>
          <w:kern w:val="0"/>
          <w:szCs w:val="21"/>
        </w:rPr>
        <w:t>以法定身份证明文件中记载的出生日期为基础计算的实足年龄。</w:t>
      </w:r>
    </w:p>
    <w:p w14:paraId="6406E50D">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意外：</w:t>
      </w:r>
      <w:r>
        <w:rPr>
          <w:rFonts w:hint="eastAsia" w:ascii="宋体" w:hAnsi="宋体" w:cs="宋体"/>
          <w:color w:val="000000"/>
          <w:kern w:val="0"/>
          <w:szCs w:val="21"/>
        </w:rPr>
        <w:t>指外来的、突发的、非本意的、非疾病的使身体受到伤害的客观事件。</w:t>
      </w:r>
    </w:p>
    <w:p w14:paraId="5A97D064">
      <w:pPr>
        <w:widowControl/>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kern w:val="0"/>
          <w:szCs w:val="21"/>
        </w:rPr>
        <w:t>《人身保险伤残评定标准及代码》：</w:t>
      </w:r>
      <w:r>
        <w:rPr>
          <w:rFonts w:hint="eastAsia" w:ascii="宋体" w:hAnsi="宋体" w:cs="宋体"/>
          <w:kern w:val="0"/>
          <w:szCs w:val="21"/>
        </w:rPr>
        <w:t>指由中国保险监督管理委员会发布(保监发[2014]6号)并经国家标准化委员会备案的中华人民共和国金融行业标准，编号JR/T 0083—2013。</w:t>
      </w:r>
    </w:p>
    <w:p w14:paraId="248B73B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猝死：</w:t>
      </w:r>
      <w:r>
        <w:rPr>
          <w:rFonts w:hint="eastAsia" w:ascii="宋体" w:hAnsi="宋体" w:cs="宋体"/>
          <w:kern w:val="0"/>
          <w:szCs w:val="21"/>
        </w:rPr>
        <w:t>指表面健康的人因潜在疾病、机能障碍或其他原因在出现症状后较短时间内发生的非暴力性突然死亡。猝死的认定以医院的诊断或公安部门的鉴定为准。</w:t>
      </w:r>
    </w:p>
    <w:p w14:paraId="376DE8EF">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医疗事故：</w:t>
      </w:r>
      <w:r>
        <w:rPr>
          <w:rFonts w:hint="eastAsia" w:ascii="宋体" w:hAnsi="宋体" w:cs="宋体"/>
          <w:color w:val="000000"/>
          <w:kern w:val="0"/>
          <w:szCs w:val="21"/>
        </w:rPr>
        <w:t>指医疗机构及其医务人员在医疗活动中，违反医疗卫生管理法律、行政法规、部门规章和诊疗护理规范、常规，过失造成患者人身伤害的事故。</w:t>
      </w:r>
    </w:p>
    <w:p w14:paraId="50920546">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潜水：</w:t>
      </w:r>
      <w:r>
        <w:rPr>
          <w:rFonts w:hint="eastAsia" w:ascii="宋体" w:hAnsi="宋体" w:cs="宋体"/>
          <w:color w:val="000000"/>
          <w:kern w:val="0"/>
          <w:szCs w:val="21"/>
        </w:rPr>
        <w:t>指以辅助呼吸器材在江、河、湖、海、水库、运河等水域进行的水下活动。</w:t>
      </w:r>
    </w:p>
    <w:p w14:paraId="5E41E117">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攀岩：</w:t>
      </w:r>
      <w:r>
        <w:rPr>
          <w:rFonts w:hint="eastAsia" w:ascii="宋体" w:hAnsi="宋体" w:cs="宋体"/>
          <w:color w:val="000000"/>
          <w:kern w:val="0"/>
          <w:szCs w:val="21"/>
        </w:rPr>
        <w:t xml:space="preserve">指攀登悬崖、楼宇外墙、人造悬崖、冰崖、冰山等运动。 </w:t>
      </w:r>
    </w:p>
    <w:p w14:paraId="15FDDF10">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探险：</w:t>
      </w:r>
      <w:r>
        <w:rPr>
          <w:rFonts w:hint="eastAsia" w:ascii="宋体" w:hAnsi="宋体" w:cs="宋体"/>
          <w:color w:val="000000"/>
          <w:kern w:val="0"/>
          <w:szCs w:val="21"/>
        </w:rPr>
        <w:t>指明知在某种特定的自然条件下有失去生命或者使身体受到伤害的危险，而故意使自己置身其中的行为。如江河漂流、徒步穿越沙漠或者人迹罕至的原始森林等活动。</w:t>
      </w:r>
    </w:p>
    <w:p w14:paraId="74055174">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武术比赛：</w:t>
      </w:r>
      <w:r>
        <w:rPr>
          <w:rFonts w:hint="eastAsia" w:ascii="宋体" w:hAnsi="宋体" w:cs="宋体"/>
          <w:color w:val="000000"/>
          <w:kern w:val="0"/>
          <w:szCs w:val="21"/>
        </w:rPr>
        <w:t>指两人或者两人以上对抗性柔道、空手道、跆拳道、散打、拳击等各种拳术及各种使用器械的对抗性比赛。</w:t>
      </w:r>
    </w:p>
    <w:p w14:paraId="602CBF93">
      <w:pPr>
        <w:widowControl/>
        <w:adjustRightInd w:val="0"/>
        <w:snapToGrid w:val="0"/>
        <w:spacing w:line="300" w:lineRule="exact"/>
        <w:ind w:firstLine="417" w:firstLineChars="198"/>
        <w:rPr>
          <w:rFonts w:ascii="宋体" w:hAnsi="宋体" w:cs="宋体"/>
          <w:color w:val="000000"/>
          <w:szCs w:val="21"/>
        </w:rPr>
      </w:pPr>
      <w:r>
        <w:rPr>
          <w:rFonts w:hint="eastAsia" w:ascii="宋体" w:hAnsi="宋体" w:cs="宋体"/>
          <w:b/>
          <w:bCs/>
          <w:color w:val="000000"/>
          <w:kern w:val="0"/>
          <w:szCs w:val="21"/>
        </w:rPr>
        <w:t>特技：</w:t>
      </w:r>
      <w:r>
        <w:rPr>
          <w:rFonts w:hint="eastAsia" w:ascii="宋体" w:hAnsi="宋体" w:cs="宋体"/>
          <w:color w:val="000000"/>
          <w:kern w:val="0"/>
          <w:szCs w:val="21"/>
        </w:rPr>
        <w:t>指从事马术、杂技、驯兽等方面的表演、运动或者其他专门活动的特殊技能。</w:t>
      </w:r>
    </w:p>
    <w:p w14:paraId="355B2523">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恐怖主义活动</w:t>
      </w:r>
      <w:r>
        <w:rPr>
          <w:rFonts w:hint="eastAsia" w:ascii="宋体" w:hAnsi="宋体" w:cs="宋体"/>
          <w:color w:val="000000"/>
          <w:kern w:val="0"/>
          <w:szCs w:val="21"/>
        </w:rPr>
        <w:t>：指任何人或者团伙出于政治、宗教、思想意识或者类似目的，为对政府施加影响和（或者）使全体或者部分公众处于恐惧、不安状态的行为。恐怖主义活动包括但不限于实际使用或者威胁使用武力或者暴力。恐怖主义活动，可仅为实施该活动者本身行为，或者代表某一机构、政府，或者与某一机构、政府相关。</w:t>
      </w:r>
    </w:p>
    <w:p w14:paraId="2DBE3D1F">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毒品</w:t>
      </w:r>
      <w:r>
        <w:rPr>
          <w:rFonts w:hint="eastAsia" w:ascii="宋体" w:hAnsi="宋体" w:cs="宋体"/>
          <w:color w:val="000000"/>
          <w:kern w:val="0"/>
          <w:szCs w:val="21"/>
        </w:rPr>
        <w:t>：指中华人民共和国刑法规定的鸦片、海洛因、甲基苯丙胺（冰毒）、吗啡、大麻、可卡因以及国家规定管制的其他能够使人形成瘾癖的麻醉药品和精神药品。</w:t>
      </w:r>
    </w:p>
    <w:p w14:paraId="115D0A3F">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管制药品</w:t>
      </w:r>
      <w:r>
        <w:rPr>
          <w:rFonts w:hint="eastAsia" w:ascii="宋体" w:hAnsi="宋体" w:cs="宋体"/>
          <w:color w:val="000000"/>
          <w:kern w:val="0"/>
          <w:szCs w:val="21"/>
        </w:rPr>
        <w:t>：指根据《中华人民共和国药品管理法》及有关法规被列为特殊管理的药品，包括麻醉药品、精神药品、毒性药品及放射性药品。</w:t>
      </w:r>
    </w:p>
    <w:p w14:paraId="4A39D956">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艾滋病：</w:t>
      </w:r>
      <w:r>
        <w:rPr>
          <w:rFonts w:hint="eastAsia" w:ascii="宋体" w:hAnsi="宋体" w:cs="宋体"/>
          <w:color w:val="000000"/>
          <w:kern w:val="0"/>
          <w:szCs w:val="21"/>
        </w:rPr>
        <w:t>指获得性免疫缺陷综合症的简称。</w:t>
      </w:r>
    </w:p>
    <w:p w14:paraId="7D7ABC28">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艾滋病病毒：</w:t>
      </w:r>
      <w:r>
        <w:rPr>
          <w:rFonts w:hint="eastAsia" w:ascii="宋体" w:hAnsi="宋体" w:cs="宋体"/>
          <w:color w:val="000000"/>
          <w:kern w:val="0"/>
          <w:szCs w:val="21"/>
        </w:rPr>
        <w:t>指获得性免疫缺陷病毒的简称。</w:t>
      </w:r>
    </w:p>
    <w:p w14:paraId="16B1A175">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获得性免疫缺陷综合症（AIDS）：</w:t>
      </w:r>
      <w:r>
        <w:rPr>
          <w:rFonts w:hint="eastAsia" w:ascii="宋体" w:hAnsi="宋体" w:cs="宋体"/>
          <w:color w:val="000000"/>
          <w:kern w:val="0"/>
          <w:szCs w:val="21"/>
        </w:rPr>
        <w:t>其定义按世界卫生组织制定的定义为准。若在被保险人的血液样本中发现艾滋病病毒或者其抗体，则认定被保险人已感染艾滋病病毒或者患艾滋病。</w:t>
      </w:r>
    </w:p>
    <w:p w14:paraId="25ADC9C9">
      <w:pPr>
        <w:widowControl/>
        <w:adjustRightInd w:val="0"/>
        <w:snapToGrid w:val="0"/>
        <w:spacing w:line="300" w:lineRule="exact"/>
        <w:ind w:firstLine="413" w:firstLineChars="196"/>
        <w:rPr>
          <w:rFonts w:ascii="宋体" w:hAnsi="宋体" w:cs="宋体"/>
          <w:color w:val="000000"/>
          <w:szCs w:val="21"/>
        </w:rPr>
      </w:pPr>
      <w:r>
        <w:rPr>
          <w:rFonts w:hint="eastAsia" w:ascii="宋体" w:hAnsi="宋体" w:cs="宋体"/>
          <w:b/>
          <w:bCs/>
          <w:color w:val="000000"/>
          <w:kern w:val="0"/>
          <w:szCs w:val="21"/>
        </w:rPr>
        <w:t>酒后驾驶</w:t>
      </w:r>
      <w:r>
        <w:rPr>
          <w:rFonts w:hint="eastAsia" w:ascii="宋体" w:hAnsi="宋体" w:cs="宋体"/>
          <w:color w:val="000000"/>
          <w:kern w:val="0"/>
          <w:szCs w:val="21"/>
        </w:rPr>
        <w:t>：指经检测或者鉴定，发生事故时车辆驾驶人员每百毫升血液中的酒精含量达到或者超过道路交通法规规定的标准。</w:t>
      </w:r>
    </w:p>
    <w:p w14:paraId="1ADDC150">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无有效驾驶证驾驶：</w:t>
      </w:r>
      <w:r>
        <w:rPr>
          <w:rFonts w:hint="eastAsia" w:ascii="宋体" w:hAnsi="宋体" w:cs="宋体"/>
          <w:color w:val="000000"/>
          <w:kern w:val="0"/>
          <w:szCs w:val="21"/>
        </w:rPr>
        <w:t>包括下列任何情形：</w:t>
      </w:r>
    </w:p>
    <w:p w14:paraId="2F942AF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1．无驾驶证驾驶或者持有效期已届满的驾驶证驾驶；</w:t>
      </w:r>
    </w:p>
    <w:p w14:paraId="4209105D">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2．驾驶的机动交通工具与驾驶证载明的准驾车型不符；</w:t>
      </w:r>
    </w:p>
    <w:p w14:paraId="0B35DEB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3．实习期内驾驶公共汽车、营运客车或者载有爆炸物品、易燃易爆化学物品、剧毒或者放射性物品等危险物品的机动交通工具，实习期内驾驶机动交通工具牵引挂车；</w:t>
      </w:r>
    </w:p>
    <w:p w14:paraId="5A81CC03">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4．持未按规定审验的驾驶证驾驶，以及驾驶证被暂扣、扣留、吊销或者注销期间驾驶机动交通工具；</w:t>
      </w:r>
    </w:p>
    <w:p w14:paraId="7F4557B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5．使用各种专用机械车、特种车的人员无国家有关部门核发的有效操作证，驾驶营业性客车的驾驶人无国家有关部门核发的有效资格证书；</w:t>
      </w:r>
    </w:p>
    <w:p w14:paraId="02A55CA8">
      <w:pPr>
        <w:widowControl/>
        <w:adjustRightInd w:val="0"/>
        <w:snapToGrid w:val="0"/>
        <w:spacing w:line="300" w:lineRule="exact"/>
        <w:ind w:firstLine="420" w:firstLineChars="200"/>
        <w:rPr>
          <w:rFonts w:ascii="宋体" w:hAnsi="宋体" w:cs="宋体"/>
          <w:b/>
          <w:bCs/>
          <w:color w:val="000000"/>
          <w:szCs w:val="21"/>
        </w:rPr>
      </w:pPr>
      <w:r>
        <w:rPr>
          <w:rFonts w:hint="eastAsia" w:ascii="宋体" w:hAnsi="宋体" w:cs="宋体"/>
          <w:color w:val="000000"/>
          <w:kern w:val="0"/>
          <w:szCs w:val="21"/>
        </w:rPr>
        <w:t>6．在依照法律法规或者公安机关交通管理部门有关规定不允许驾驶机动交通工具的其他情况下驾驶机动交通工具。</w:t>
      </w:r>
    </w:p>
    <w:p w14:paraId="39BCC4E3">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无有效行驶证：</w:t>
      </w:r>
      <w:r>
        <w:rPr>
          <w:rFonts w:hint="eastAsia" w:ascii="宋体" w:hAnsi="宋体" w:cs="宋体"/>
          <w:color w:val="000000"/>
          <w:kern w:val="0"/>
          <w:szCs w:val="21"/>
        </w:rPr>
        <w:t>包括下列任何情形：</w:t>
      </w:r>
    </w:p>
    <w:p w14:paraId="2400F6F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1．机动交通工具被依法注销登记；</w:t>
      </w:r>
    </w:p>
    <w:p w14:paraId="538DBFD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2．机动交通工具无公安机关交通管理部门核发的行驶证、号牌，或者临时号牌或者临时移动证；</w:t>
      </w:r>
    </w:p>
    <w:p w14:paraId="6128D6C5">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3．机动交通工具未在规定检验期限内进行安全技术检验或者检验未通过，未依法按时进行或者通过安全技术检验。</w:t>
      </w:r>
    </w:p>
    <w:p w14:paraId="4732FB8A">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保险金申请人：</w:t>
      </w:r>
      <w:r>
        <w:rPr>
          <w:rFonts w:hint="eastAsia" w:ascii="宋体" w:hAnsi="宋体" w:cs="宋体"/>
          <w:color w:val="000000"/>
          <w:kern w:val="0"/>
          <w:szCs w:val="21"/>
        </w:rPr>
        <w:t>指受益人、被保险人的继承人或者依法享有保险金请求权的其他人。</w:t>
      </w:r>
    </w:p>
    <w:p w14:paraId="203F062D">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不可抗力：</w:t>
      </w:r>
      <w:r>
        <w:rPr>
          <w:rFonts w:hint="eastAsia" w:ascii="宋体" w:hAnsi="宋体" w:cs="宋体"/>
          <w:color w:val="000000"/>
          <w:kern w:val="0"/>
          <w:szCs w:val="21"/>
        </w:rPr>
        <w:t>指不能预见、不能避免并不能克服的客观情况。</w:t>
      </w:r>
    </w:p>
    <w:p w14:paraId="71E1EED3">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未满期保险费：</w:t>
      </w:r>
      <w:r>
        <w:rPr>
          <w:rFonts w:hint="eastAsia" w:ascii="宋体" w:hAnsi="宋体" w:cs="宋体"/>
          <w:color w:val="000000"/>
          <w:kern w:val="0"/>
          <w:szCs w:val="21"/>
        </w:rPr>
        <w:t>每一被保险人未满期保险费=该被保险人保险费×[1-(对该被保险人保险责任已经过日数/该被保险人保险期间日数)]。已经过日数不足一日的，按一日计算。</w:t>
      </w:r>
    </w:p>
    <w:p w14:paraId="67A5595E">
      <w:pPr>
        <w:widowControl/>
        <w:adjustRightInd w:val="0"/>
        <w:snapToGrid w:val="0"/>
        <w:spacing w:line="300" w:lineRule="exact"/>
        <w:ind w:firstLine="422" w:firstLineChars="200"/>
        <w:rPr>
          <w:rFonts w:ascii="宋体" w:hAnsi="宋体" w:cs="宋体"/>
          <w:color w:val="000000"/>
          <w:kern w:val="0"/>
          <w:szCs w:val="21"/>
        </w:rPr>
      </w:pPr>
      <w:r>
        <w:rPr>
          <w:rFonts w:hint="eastAsia" w:ascii="宋体" w:hAnsi="宋体" w:cs="宋体"/>
          <w:b/>
          <w:bCs/>
          <w:color w:val="000000"/>
          <w:kern w:val="0"/>
          <w:szCs w:val="21"/>
        </w:rPr>
        <w:t>未满期净保险费：</w:t>
      </w:r>
      <w:r>
        <w:rPr>
          <w:rFonts w:hint="eastAsia" w:ascii="宋体" w:hAnsi="宋体" w:cs="宋体"/>
          <w:color w:val="000000"/>
          <w:kern w:val="0"/>
          <w:szCs w:val="21"/>
        </w:rPr>
        <w:t>未满期净保险费=未满期保险费×（1-25%）。</w:t>
      </w:r>
    </w:p>
    <w:p w14:paraId="4EAB83CB">
      <w:pPr>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br w:type="page"/>
      </w:r>
    </w:p>
    <w:p w14:paraId="51F9600A">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center"/>
        <w:textAlignment w:val="baseline"/>
        <w:outlineLvl w:val="1"/>
        <w:rPr>
          <w:rFonts w:ascii="宋体" w:hAnsi="宋体" w:eastAsia="宋体" w:cs="宋体"/>
          <w:sz w:val="21"/>
          <w:szCs w:val="21"/>
        </w:rPr>
      </w:pPr>
      <w:r>
        <w:rPr>
          <w:rFonts w:hint="eastAsia" w:ascii="宋体" w:hAnsi="宋体" w:eastAsia="宋体" w:cs="宋体"/>
          <w:sz w:val="21"/>
          <w:szCs w:val="21"/>
          <w:lang w:val="en-US" w:eastAsia="zh-Hans"/>
        </w:rPr>
        <w:t>附</w:t>
      </w:r>
      <w:r>
        <w:rPr>
          <w:rFonts w:hint="eastAsia" w:ascii="宋体" w:hAnsi="宋体" w:eastAsia="宋体" w:cs="宋体"/>
          <w:sz w:val="21"/>
          <w:szCs w:val="21"/>
        </w:rPr>
        <w:t>加团体意外伤害医疗保险条款</w:t>
      </w:r>
    </w:p>
    <w:p w14:paraId="238C09B6">
      <w:pPr>
        <w:widowControl/>
        <w:adjustRightInd w:val="0"/>
        <w:snapToGrid w:val="0"/>
        <w:spacing w:line="300" w:lineRule="exact"/>
        <w:rPr>
          <w:rFonts w:ascii="宋体" w:hAnsi="宋体" w:cs="宋体"/>
          <w:b/>
          <w:bCs/>
          <w:color w:val="000000"/>
          <w:kern w:val="0"/>
          <w:szCs w:val="21"/>
        </w:rPr>
      </w:pPr>
    </w:p>
    <w:p w14:paraId="5F67F7E1">
      <w:pPr>
        <w:widowControl/>
        <w:adjustRightInd w:val="0"/>
        <w:snapToGrid w:val="0"/>
        <w:spacing w:line="300" w:lineRule="exact"/>
        <w:jc w:val="center"/>
        <w:rPr>
          <w:rFonts w:ascii="宋体" w:hAnsi="宋体" w:cs="宋体"/>
          <w:b/>
          <w:bCs/>
          <w:color w:val="000000"/>
          <w:szCs w:val="21"/>
        </w:rPr>
      </w:pPr>
      <w:r>
        <w:rPr>
          <w:rFonts w:hint="eastAsia" w:ascii="宋体" w:hAnsi="宋体" w:cs="宋体"/>
          <w:b/>
          <w:bCs/>
          <w:color w:val="000000"/>
          <w:kern w:val="0"/>
          <w:szCs w:val="21"/>
        </w:rPr>
        <w:t>总则</w:t>
      </w:r>
    </w:p>
    <w:p w14:paraId="7EADA819">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第一条 </w:t>
      </w:r>
      <w:r>
        <w:rPr>
          <w:rFonts w:hint="eastAsia" w:ascii="宋体" w:hAnsi="宋体" w:cs="宋体"/>
          <w:color w:val="000000"/>
          <w:kern w:val="0"/>
          <w:szCs w:val="21"/>
        </w:rPr>
        <w:t>本附加保险合同（以下简称“本附加合同”）附加于主险合同。凡主险合同内容与本附加合同相关者及本保险条款，均为本附加合同的组成部分。</w:t>
      </w:r>
    </w:p>
    <w:p w14:paraId="404B86D6">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本保险条款未尽事项，以主险保险条款为准；若主险保险条款与本保险条款内容冲突，则以本保险条款为准。</w:t>
      </w:r>
    </w:p>
    <w:p w14:paraId="243E8FD4">
      <w:pPr>
        <w:widowControl/>
        <w:adjustRightInd w:val="0"/>
        <w:snapToGrid w:val="0"/>
        <w:spacing w:line="300" w:lineRule="exact"/>
        <w:rPr>
          <w:rFonts w:ascii="宋体" w:hAnsi="宋体" w:cs="宋体"/>
          <w:b/>
          <w:bCs/>
          <w:color w:val="000000"/>
          <w:spacing w:val="5"/>
          <w:szCs w:val="21"/>
        </w:rPr>
      </w:pPr>
      <w:r>
        <w:rPr>
          <w:rFonts w:hint="eastAsia" w:ascii="宋体" w:hAnsi="宋体" w:cs="宋体"/>
          <w:color w:val="000000"/>
          <w:spacing w:val="5"/>
          <w:kern w:val="0"/>
          <w:szCs w:val="21"/>
        </w:rPr>
        <w:t>主险合同效力终止，本附加合同效力亦同时终止。</w:t>
      </w:r>
    </w:p>
    <w:p w14:paraId="48D30BED">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第二条 </w:t>
      </w:r>
      <w:r>
        <w:rPr>
          <w:rFonts w:hint="eastAsia" w:ascii="宋体" w:hAnsi="宋体" w:cs="宋体"/>
          <w:color w:val="000000"/>
          <w:kern w:val="0"/>
          <w:szCs w:val="21"/>
        </w:rPr>
        <w:t>投保人、被保险人同主险合同。</w:t>
      </w:r>
    </w:p>
    <w:p w14:paraId="7020C003">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 xml:space="preserve">第三条 </w:t>
      </w:r>
      <w:r>
        <w:rPr>
          <w:rFonts w:hint="eastAsia" w:ascii="宋体" w:hAnsi="宋体" w:cs="宋体"/>
          <w:color w:val="000000"/>
          <w:kern w:val="0"/>
          <w:szCs w:val="21"/>
        </w:rPr>
        <w:t>除另有依法指定外，受益人为被保险人本人。</w:t>
      </w:r>
    </w:p>
    <w:p w14:paraId="57902800">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保险责任</w:t>
      </w:r>
    </w:p>
    <w:p w14:paraId="7444842B">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 xml:space="preserve">第四条 </w:t>
      </w:r>
      <w:r>
        <w:rPr>
          <w:rFonts w:hint="eastAsia" w:ascii="宋体" w:hAnsi="宋体" w:cs="宋体"/>
          <w:color w:val="000000"/>
          <w:spacing w:val="5"/>
          <w:kern w:val="0"/>
          <w:szCs w:val="21"/>
        </w:rPr>
        <w:t>适用于每一被保险人的次免赔额、赔付比例由投保人与保险人约定，并于本附加合同中载明。</w:t>
      </w:r>
    </w:p>
    <w:p w14:paraId="2A98D3B8">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第五条</w:t>
      </w:r>
      <w:r>
        <w:rPr>
          <w:rFonts w:hint="eastAsia" w:ascii="宋体" w:hAnsi="宋体" w:cs="宋体"/>
          <w:color w:val="000000"/>
          <w:spacing w:val="5"/>
          <w:kern w:val="0"/>
          <w:szCs w:val="21"/>
        </w:rPr>
        <w:t xml:space="preserve"> 意外医疗保险责任：</w:t>
      </w:r>
    </w:p>
    <w:p w14:paraId="1BCCF3EF">
      <w:pPr>
        <w:widowControl/>
        <w:adjustRightInd w:val="0"/>
        <w:snapToGrid w:val="0"/>
        <w:spacing w:line="300" w:lineRule="exact"/>
        <w:ind w:firstLine="440" w:firstLineChars="200"/>
        <w:rPr>
          <w:rFonts w:ascii="宋体" w:hAnsi="宋体" w:cs="宋体"/>
          <w:color w:val="000000"/>
          <w:spacing w:val="5"/>
          <w:szCs w:val="21"/>
        </w:rPr>
      </w:pPr>
      <w:r>
        <w:rPr>
          <w:rFonts w:hint="eastAsia" w:ascii="宋体" w:hAnsi="宋体" w:cs="宋体"/>
          <w:color w:val="000000"/>
          <w:spacing w:val="5"/>
          <w:kern w:val="0"/>
          <w:szCs w:val="21"/>
        </w:rPr>
        <w:t>在保险期间内，被保险人每次遭受意外并在</w:t>
      </w:r>
      <w:r>
        <w:rPr>
          <w:rFonts w:hint="eastAsia" w:ascii="宋体" w:hAnsi="宋体" w:cs="宋体"/>
          <w:color w:val="000000"/>
          <w:kern w:val="0"/>
          <w:szCs w:val="21"/>
        </w:rPr>
        <w:t>社会基本医疗保险定点医疗机构治疗由该次意外导致的人身伤害，由此发生的符合约定的当地社会基本医疗保险（未约定的则为当地城镇职工基本医疗保险，下同）规定的支/给付范围和标准的、医学上必要的医疗费用（以下简称“每次意外合理医疗费用”），保险人按“（每次意外合理医疗费用-该被保险人的次免赔额）×该被保险人的赔付比例”给付意外医疗保险金。若保险期间届满时该被保险人住院治疗仍未结束，保险人继续承担意外医疗保险责任至其当次住院出院之时或者对应意外发生之日起第一百八十日二十四时（以先发生者为准）止。</w:t>
      </w:r>
    </w:p>
    <w:p w14:paraId="5E953E33">
      <w:pPr>
        <w:widowControl/>
        <w:adjustRightInd w:val="0"/>
        <w:snapToGrid w:val="0"/>
        <w:spacing w:line="300" w:lineRule="exact"/>
        <w:ind w:firstLine="420" w:firstLineChars="200"/>
        <w:rPr>
          <w:rFonts w:ascii="宋体" w:hAnsi="宋体" w:cs="宋体"/>
          <w:szCs w:val="21"/>
        </w:rPr>
      </w:pPr>
      <w:r>
        <w:rPr>
          <w:rFonts w:hint="eastAsia" w:ascii="宋体" w:hAnsi="宋体" w:cs="宋体"/>
          <w:color w:val="000000"/>
          <w:kern w:val="0"/>
          <w:szCs w:val="21"/>
        </w:rPr>
        <w:t>保险人根据本附加合同针对每一被保险人给付的意外医疗保险金累计以其意外医疗保险金额为上限，当达到该限额时，本附加合同约定的对该被保险人的保险责任终止。</w:t>
      </w:r>
    </w:p>
    <w:p w14:paraId="67F6536D">
      <w:pPr>
        <w:widowControl/>
        <w:adjustRightInd w:val="0"/>
        <w:snapToGrid w:val="0"/>
        <w:spacing w:line="300" w:lineRule="exact"/>
        <w:rPr>
          <w:rFonts w:ascii="宋体" w:hAnsi="宋体" w:cs="宋体"/>
          <w:b/>
          <w:bCs/>
          <w:szCs w:val="21"/>
        </w:rPr>
      </w:pPr>
      <w:r>
        <w:rPr>
          <w:rFonts w:hint="eastAsia" w:ascii="宋体" w:hAnsi="宋体" w:cs="宋体"/>
          <w:b/>
          <w:bCs/>
          <w:color w:val="000000"/>
          <w:kern w:val="0"/>
          <w:szCs w:val="21"/>
        </w:rPr>
        <w:t>责任免除</w:t>
      </w:r>
    </w:p>
    <w:p w14:paraId="60C3F656">
      <w:pPr>
        <w:widowControl/>
        <w:adjustRightInd w:val="0"/>
        <w:snapToGrid w:val="0"/>
        <w:spacing w:line="300" w:lineRule="exact"/>
        <w:ind w:firstLine="422" w:firstLineChars="200"/>
        <w:rPr>
          <w:rFonts w:ascii="宋体" w:hAnsi="宋体" w:cs="宋体"/>
          <w:szCs w:val="21"/>
        </w:rPr>
      </w:pPr>
      <w:r>
        <w:rPr>
          <w:rFonts w:hint="eastAsia" w:ascii="宋体" w:hAnsi="宋体" w:cs="宋体"/>
          <w:b/>
          <w:bCs/>
          <w:color w:val="000000"/>
          <w:kern w:val="0"/>
          <w:szCs w:val="21"/>
        </w:rPr>
        <w:t>第六条 对被保险人发生的下列任何费用，保险人不承担给付保险金的责任：</w:t>
      </w:r>
    </w:p>
    <w:p w14:paraId="2C75AB53">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（一）因主险合同中列明的责任免除事项而发生的医疗费用或者与主险合同中列明的责任免除事项相关的医疗费用；</w:t>
      </w:r>
    </w:p>
    <w:p w14:paraId="1EB3FBD3">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（二）非直接用以治疗由意外引致的伤害而发生的费用，对已有伤害的治疗费用；</w:t>
      </w:r>
    </w:p>
    <w:p w14:paraId="453479E6">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三）不符合约定的当地社会基本医疗保险规定的支/给付范围和标准的医疗费用，在非社会基本医疗保险定点医疗机构发生的医疗费用，在主要提供康复、护理、疗养、戒酒、戒毒或者相类似服务的医疗机构发生的医疗费用；</w:t>
      </w:r>
    </w:p>
    <w:p w14:paraId="7C547616">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四）矫形、洗牙、洁齿、整容、美容、心理咨询、体检、疗养、静养、康复治疗、健康护理、家庭病床治疗费用，修复、安装或者购买残疾用具（包括但不限于特别支架、器材、轮椅、拐杖、义肢、助听器、义牙、义眼、配镜）费用，与购置移植器官、捐献器官、保存和运输器官相关费用，体外医疗装置或者器材费用，试验性治疗费用；</w:t>
      </w:r>
    </w:p>
    <w:p w14:paraId="50160FAE">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b/>
          <w:bCs/>
          <w:color w:val="000000"/>
          <w:szCs w:val="21"/>
        </w:rPr>
      </w:pPr>
      <w:r>
        <w:rPr>
          <w:rFonts w:hint="eastAsia" w:ascii="宋体" w:hAnsi="宋体" w:cs="宋体"/>
          <w:b/>
          <w:bCs/>
          <w:color w:val="000000"/>
          <w:kern w:val="0"/>
          <w:szCs w:val="21"/>
        </w:rPr>
        <w:t>（五）不必要的转院治疗引发的额外费用；</w:t>
      </w:r>
    </w:p>
    <w:p w14:paraId="41257A3E">
      <w:pPr>
        <w:widowControl/>
        <w:tabs>
          <w:tab w:val="left" w:pos="900"/>
          <w:tab w:val="left" w:pos="1080"/>
          <w:tab w:val="left" w:pos="1260"/>
          <w:tab w:val="left" w:pos="1440"/>
          <w:tab w:val="left" w:pos="1620"/>
          <w:tab w:val="left" w:pos="1800"/>
          <w:tab w:val="left" w:pos="1980"/>
        </w:tabs>
        <w:adjustRightInd w:val="0"/>
        <w:snapToGrid w:val="0"/>
        <w:spacing w:line="300" w:lineRule="exact"/>
        <w:ind w:firstLine="413" w:firstLineChars="196"/>
        <w:rPr>
          <w:rFonts w:ascii="宋体" w:hAnsi="宋体" w:cs="宋体"/>
          <w:spacing w:val="5"/>
          <w:szCs w:val="21"/>
        </w:rPr>
      </w:pPr>
      <w:r>
        <w:rPr>
          <w:rFonts w:hint="eastAsia" w:ascii="宋体" w:hAnsi="宋体" w:cs="宋体"/>
          <w:b/>
          <w:bCs/>
          <w:color w:val="000000"/>
          <w:kern w:val="0"/>
          <w:szCs w:val="21"/>
        </w:rPr>
        <w:t>（六）医疗费用中依法应当由第三者赔偿的部分，但第三者逃逸、失踪、死亡且虽经诉讼无可以执行的财产或者无赔偿能力的不在此限。</w:t>
      </w:r>
    </w:p>
    <w:p w14:paraId="086A5EC8">
      <w:pPr>
        <w:widowControl/>
        <w:tabs>
          <w:tab w:val="left" w:pos="1260"/>
          <w:tab w:val="left" w:pos="1440"/>
          <w:tab w:val="left" w:pos="1620"/>
          <w:tab w:val="left" w:pos="1800"/>
          <w:tab w:val="left" w:pos="1980"/>
        </w:tabs>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保险金额</w:t>
      </w:r>
    </w:p>
    <w:p w14:paraId="37809EDA">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第七条</w:t>
      </w:r>
      <w:r>
        <w:rPr>
          <w:rFonts w:hint="eastAsia" w:ascii="宋体" w:hAnsi="宋体" w:cs="宋体"/>
          <w:color w:val="000000"/>
          <w:kern w:val="0"/>
          <w:szCs w:val="21"/>
        </w:rPr>
        <w:t xml:space="preserve"> 每一被保险人的意外医疗保险金额由投保人与保险人约定，并于本附加合同中载明。</w:t>
      </w:r>
    </w:p>
    <w:p w14:paraId="15F4C03A">
      <w:pPr>
        <w:widowControl/>
        <w:adjustRightInd w:val="0"/>
        <w:snapToGrid w:val="0"/>
        <w:spacing w:line="300" w:lineRule="exact"/>
        <w:rPr>
          <w:rFonts w:ascii="宋体" w:hAnsi="宋体" w:cs="宋体"/>
          <w:b/>
          <w:bCs/>
          <w:szCs w:val="21"/>
        </w:rPr>
      </w:pPr>
      <w:r>
        <w:rPr>
          <w:rFonts w:hint="eastAsia" w:ascii="宋体" w:hAnsi="宋体" w:cs="宋体"/>
          <w:b/>
          <w:bCs/>
          <w:kern w:val="0"/>
          <w:szCs w:val="21"/>
        </w:rPr>
        <w:t>保险金的申请与给付</w:t>
      </w:r>
    </w:p>
    <w:p w14:paraId="6CC3C9E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第八条 </w:t>
      </w:r>
      <w:r>
        <w:rPr>
          <w:rFonts w:hint="eastAsia" w:ascii="宋体" w:hAnsi="宋体" w:cs="宋体"/>
          <w:color w:val="000000"/>
          <w:kern w:val="0"/>
          <w:szCs w:val="21"/>
        </w:rPr>
        <w:t>保险金申请人向保险人申请给付保险金时，应当以书面形式提交下列证明和资料：</w:t>
      </w:r>
    </w:p>
    <w:p w14:paraId="3202C71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（一）保险金给付申请书；</w:t>
      </w:r>
    </w:p>
    <w:p w14:paraId="2D91CA22">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（二）保险单或者其他保险凭证；</w:t>
      </w:r>
    </w:p>
    <w:p w14:paraId="129E87F1">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（三）保险金申请人的身份证明，若保险金申请人委托他人申请，还须提供受托人身份证明、授权委托书；</w:t>
      </w:r>
    </w:p>
    <w:p w14:paraId="74DA9AD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（四）公安机关或者保险人认可的其他机构出具的意外事故证明；</w:t>
      </w:r>
    </w:p>
    <w:p w14:paraId="675361D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（五）社会基本医疗保险定点医疗机构出具的医疗费用原始收据及明细、诊断证明、病历、出院证明；</w:t>
      </w:r>
    </w:p>
    <w:p w14:paraId="1C26E85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（六）投保人、被保险人或者保险金申请人所能提供的其他与确认事故的性质、原因、损失程度等有关的证明和资料。</w:t>
      </w:r>
    </w:p>
    <w:p w14:paraId="619E32E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保险金申请人因特殊原因不能提供前款约定的证明和资料的，应当提供其他合法、有效的证明和资料。</w:t>
      </w:r>
      <w:r>
        <w:rPr>
          <w:rFonts w:hint="eastAsia" w:ascii="宋体" w:hAnsi="宋体" w:cs="宋体"/>
          <w:b/>
          <w:bCs/>
          <w:color w:val="000000"/>
          <w:kern w:val="0"/>
          <w:szCs w:val="21"/>
        </w:rPr>
        <w:t>保险金申请人未能提供有关证明和资料，导致保险人无法核实该申请内容的真实性的，保险人对无法核实部分不承担给付保险金的责任。</w:t>
      </w:r>
    </w:p>
    <w:p w14:paraId="7E0B7746">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第九条</w:t>
      </w:r>
      <w:r>
        <w:rPr>
          <w:rFonts w:hint="eastAsia" w:ascii="宋体" w:hAnsi="宋体" w:cs="宋体"/>
          <w:color w:val="000000"/>
          <w:kern w:val="0"/>
          <w:szCs w:val="21"/>
        </w:rPr>
        <w:t xml:space="preserve"> 被保险人遭受事故的，保险人有权对投保人、被保险人、保险金申请人和有关医疗机构等进行调查和检查，投保人、被保险人、保险金申请人等应当予以充分配合。</w:t>
      </w:r>
    </w:p>
    <w:p w14:paraId="540396B2">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第十条 </w:t>
      </w:r>
      <w:r>
        <w:rPr>
          <w:rFonts w:hint="eastAsia" w:ascii="宋体" w:hAnsi="宋体" w:cs="宋体"/>
          <w:color w:val="000000"/>
          <w:kern w:val="0"/>
          <w:szCs w:val="21"/>
        </w:rPr>
        <w:t>保险金申请人对保险人请求给付保险金的诉讼时效期间为二年，自其知道或者应当知道保险事故发生之日起计算。</w:t>
      </w:r>
    </w:p>
    <w:p w14:paraId="6603D24C">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医疗费用补偿原则</w:t>
      </w:r>
    </w:p>
    <w:p w14:paraId="34D51C33">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第十一条 </w:t>
      </w:r>
      <w:r>
        <w:rPr>
          <w:rFonts w:hint="eastAsia" w:ascii="宋体" w:hAnsi="宋体" w:cs="宋体"/>
          <w:color w:val="000000"/>
          <w:kern w:val="0"/>
          <w:szCs w:val="21"/>
        </w:rPr>
        <w:t>对被保险人因每次遭受意外接受治疗而发生的医疗费用，保险人针对其给付的意外医疗保险金以该次意外合理医疗费用扣除被保险人已从社会基本医疗保险、公费医疗、互助保险、除本保险外的其他商业保险、公益慈善机构、第三方责任人等获得的补偿后的余额为上限。</w:t>
      </w:r>
    </w:p>
    <w:p w14:paraId="61CDB030">
      <w:pPr>
        <w:widowControl/>
        <w:adjustRightInd w:val="0"/>
        <w:snapToGrid w:val="0"/>
        <w:spacing w:line="300" w:lineRule="exact"/>
        <w:rPr>
          <w:rFonts w:ascii="宋体" w:hAnsi="宋体" w:cs="宋体"/>
          <w:color w:val="000000"/>
          <w:spacing w:val="5"/>
          <w:szCs w:val="21"/>
        </w:rPr>
      </w:pPr>
      <w:r>
        <w:rPr>
          <w:rFonts w:hint="eastAsia" w:ascii="宋体" w:hAnsi="宋体" w:cs="宋体"/>
          <w:b/>
          <w:bCs/>
          <w:color w:val="000000"/>
          <w:kern w:val="0"/>
          <w:szCs w:val="21"/>
        </w:rPr>
        <w:t>释义</w:t>
      </w:r>
    </w:p>
    <w:p w14:paraId="6F755591">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意外：</w:t>
      </w:r>
      <w:r>
        <w:rPr>
          <w:rFonts w:hint="eastAsia" w:ascii="宋体" w:hAnsi="宋体" w:cs="宋体"/>
          <w:color w:val="000000"/>
          <w:kern w:val="0"/>
          <w:szCs w:val="21"/>
        </w:rPr>
        <w:t>指外来的、突发的、非本意的、非疾病的使身体受到伤害的客观事件。</w:t>
      </w:r>
    </w:p>
    <w:p w14:paraId="7BFF09F2">
      <w:pPr>
        <w:widowControl/>
        <w:adjustRightInd w:val="0"/>
        <w:snapToGrid w:val="0"/>
        <w:spacing w:line="300" w:lineRule="exact"/>
        <w:ind w:left="221" w:hanging="221" w:hangingChars="100"/>
        <w:rPr>
          <w:rFonts w:ascii="宋体" w:hAnsi="宋体" w:cs="宋体"/>
          <w:color w:val="000000"/>
          <w:spacing w:val="5"/>
          <w:szCs w:val="21"/>
        </w:rPr>
      </w:pPr>
      <w:r>
        <w:rPr>
          <w:rFonts w:hint="eastAsia" w:ascii="宋体" w:hAnsi="宋体" w:cs="宋体"/>
          <w:b/>
          <w:bCs/>
          <w:color w:val="000000"/>
          <w:spacing w:val="5"/>
          <w:kern w:val="0"/>
          <w:szCs w:val="21"/>
        </w:rPr>
        <w:t>当地：</w:t>
      </w:r>
      <w:r>
        <w:rPr>
          <w:rFonts w:hint="eastAsia" w:ascii="宋体" w:hAnsi="宋体" w:cs="宋体"/>
          <w:color w:val="000000"/>
          <w:spacing w:val="5"/>
          <w:kern w:val="0"/>
          <w:szCs w:val="21"/>
        </w:rPr>
        <w:t>指签发本附加合同的保险人分支机构所在地。</w:t>
      </w:r>
    </w:p>
    <w:p w14:paraId="03E5C608">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社会基本医疗保险</w:t>
      </w:r>
      <w:r>
        <w:rPr>
          <w:rFonts w:hint="eastAsia" w:ascii="宋体" w:hAnsi="宋体" w:cs="宋体"/>
          <w:color w:val="000000"/>
          <w:kern w:val="0"/>
          <w:szCs w:val="21"/>
        </w:rPr>
        <w:t>：指根据政府有关法律法规/规定建立的、由指定的行政主管部门管理的、在所属地域范围内实行基本医疗保险基金统一筹集、使用和管理的社会医疗保障制度。包括但不限于城镇职工基本医疗保险、城镇居民基本医疗保险、城乡居民基本医疗保险、新型农村合作医疗。</w:t>
      </w:r>
    </w:p>
    <w:p w14:paraId="3F92451D">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住院：</w:t>
      </w:r>
      <w:r>
        <w:rPr>
          <w:rFonts w:hint="eastAsia" w:ascii="宋体" w:hAnsi="宋体" w:cs="宋体"/>
          <w:color w:val="000000"/>
          <w:kern w:val="0"/>
          <w:szCs w:val="21"/>
        </w:rPr>
        <w:t>指入住社会基本医疗保险定点医疗机构的正式病房，并办理入出院手续，不包括门（急）诊观察室诊疗、家庭病床、挂床住院、其他非正式的病床住院及不合理住院</w:t>
      </w:r>
      <w:r>
        <w:rPr>
          <w:rFonts w:hint="eastAsia" w:ascii="宋体" w:hAnsi="宋体" w:cs="宋体"/>
          <w:color w:val="000000"/>
          <w:spacing w:val="5"/>
          <w:kern w:val="0"/>
          <w:szCs w:val="21"/>
        </w:rPr>
        <w:t>。被保险人因非医疗目的自行离开病房十二小时以上（含）的，视为自动出院。</w:t>
      </w:r>
    </w:p>
    <w:p w14:paraId="4DBDCB35">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挂床：</w:t>
      </w:r>
      <w:r>
        <w:rPr>
          <w:rFonts w:hint="eastAsia" w:ascii="宋体" w:hAnsi="宋体" w:cs="宋体"/>
          <w:color w:val="000000"/>
          <w:spacing w:val="5"/>
          <w:kern w:val="0"/>
          <w:szCs w:val="21"/>
        </w:rPr>
        <w:t>指住院过程中一日内未接受与入院诊断相关的检查和治疗或者一日内住院不满二十四小时。遵医嘱到外院接受临时诊疗的不在此限。</w:t>
      </w:r>
    </w:p>
    <w:p w14:paraId="573DB671">
      <w:pPr>
        <w:widowControl/>
        <w:adjustRightInd w:val="0"/>
        <w:snapToGrid w:val="0"/>
        <w:spacing w:line="300" w:lineRule="exact"/>
        <w:ind w:firstLine="435" w:firstLineChars="197"/>
        <w:rPr>
          <w:rFonts w:ascii="宋体" w:hAnsi="宋体" w:cs="宋体"/>
          <w:color w:val="000000"/>
          <w:spacing w:val="5"/>
          <w:szCs w:val="21"/>
        </w:rPr>
      </w:pPr>
      <w:r>
        <w:rPr>
          <w:rFonts w:hint="eastAsia" w:ascii="宋体" w:hAnsi="宋体" w:cs="宋体"/>
          <w:b/>
          <w:bCs/>
          <w:color w:val="000000"/>
          <w:spacing w:val="5"/>
          <w:kern w:val="0"/>
          <w:szCs w:val="21"/>
        </w:rPr>
        <w:t>试验性治疗：</w:t>
      </w:r>
      <w:r>
        <w:rPr>
          <w:rFonts w:hint="eastAsia" w:ascii="宋体" w:hAnsi="宋体" w:cs="宋体"/>
          <w:color w:val="000000"/>
          <w:spacing w:val="5"/>
          <w:kern w:val="0"/>
          <w:szCs w:val="21"/>
        </w:rPr>
        <w:t>指不符合境内医学界公认可行的治疗方法、手段、设备、药品等。</w:t>
      </w:r>
    </w:p>
    <w:p w14:paraId="45BA9769">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境内：</w:t>
      </w:r>
      <w:r>
        <w:rPr>
          <w:rFonts w:hint="eastAsia" w:ascii="宋体" w:hAnsi="宋体" w:cs="宋体"/>
          <w:color w:val="000000"/>
          <w:spacing w:val="5"/>
          <w:kern w:val="0"/>
          <w:szCs w:val="21"/>
        </w:rPr>
        <w:t>指中国大陆地区，不包括港澳台地区。</w:t>
      </w:r>
    </w:p>
    <w:p w14:paraId="54E8E15E">
      <w:pPr>
        <w:widowControl/>
        <w:adjustRightInd w:val="0"/>
        <w:snapToGrid w:val="0"/>
        <w:spacing w:line="300" w:lineRule="exact"/>
        <w:ind w:firstLine="422" w:firstLineChars="200"/>
        <w:rPr>
          <w:rFonts w:ascii="宋体" w:hAnsi="宋体" w:cs="宋体"/>
          <w:color w:val="000000"/>
          <w:kern w:val="0"/>
          <w:szCs w:val="21"/>
        </w:rPr>
      </w:pPr>
      <w:r>
        <w:rPr>
          <w:rFonts w:hint="eastAsia" w:ascii="宋体" w:hAnsi="宋体" w:cs="宋体"/>
          <w:b/>
          <w:bCs/>
          <w:color w:val="000000"/>
          <w:kern w:val="0"/>
          <w:szCs w:val="21"/>
        </w:rPr>
        <w:t>保险金申请人：</w:t>
      </w:r>
      <w:r>
        <w:rPr>
          <w:rFonts w:hint="eastAsia" w:ascii="宋体" w:hAnsi="宋体" w:cs="宋体"/>
          <w:color w:val="000000"/>
          <w:kern w:val="0"/>
          <w:szCs w:val="21"/>
        </w:rPr>
        <w:t>指受益人或者依法享有保险金请求权的其他人。</w:t>
      </w:r>
    </w:p>
    <w:p w14:paraId="64FC9A6B"/>
    <w:p w14:paraId="0EF50BB4">
      <w:pPr>
        <w:pStyle w:val="6"/>
      </w:pPr>
    </w:p>
    <w:p w14:paraId="3AA62602">
      <w:pPr>
        <w:pStyle w:val="3"/>
      </w:pPr>
    </w:p>
    <w:p w14:paraId="35B81373"/>
    <w:p w14:paraId="513CF7A8">
      <w:pPr>
        <w:pStyle w:val="6"/>
      </w:pPr>
    </w:p>
    <w:p w14:paraId="20617ACC">
      <w:pPr>
        <w:pStyle w:val="3"/>
      </w:pPr>
    </w:p>
    <w:p w14:paraId="475842B6"/>
    <w:p w14:paraId="15450911">
      <w:pPr>
        <w:pStyle w:val="6"/>
      </w:pPr>
    </w:p>
    <w:p w14:paraId="2880928E">
      <w:pPr>
        <w:pStyle w:val="3"/>
      </w:pPr>
    </w:p>
    <w:p w14:paraId="6D57E05D"/>
    <w:p w14:paraId="79429BB2"/>
    <w:p w14:paraId="64C27610">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center"/>
        <w:textAlignment w:val="baseline"/>
        <w:outlineLvl w:val="1"/>
        <w:rPr>
          <w:rFonts w:ascii="宋体" w:hAnsi="宋体" w:eastAsia="宋体" w:cs="宋体"/>
          <w:sz w:val="21"/>
          <w:szCs w:val="21"/>
        </w:rPr>
      </w:pPr>
      <w:bookmarkStart w:id="0" w:name="_Toc449012769"/>
      <w:bookmarkStart w:id="1" w:name="_Toc216947466"/>
      <w:bookmarkStart w:id="2" w:name="_Toc448944190"/>
      <w:r>
        <w:rPr>
          <w:rFonts w:hint="eastAsia" w:ascii="宋体" w:hAnsi="宋体" w:eastAsia="宋体" w:cs="宋体"/>
          <w:sz w:val="21"/>
          <w:szCs w:val="21"/>
        </w:rPr>
        <w:t>附加意外伤害</w:t>
      </w:r>
      <w:r>
        <w:rPr>
          <w:rFonts w:hint="eastAsia" w:ascii="宋体" w:hAnsi="宋体" w:eastAsia="宋体" w:cs="宋体"/>
          <w:b/>
          <w:sz w:val="21"/>
          <w:szCs w:val="21"/>
        </w:rPr>
        <w:t>住院</w:t>
      </w:r>
      <w:r>
        <w:rPr>
          <w:rFonts w:hint="eastAsia" w:ascii="宋体" w:hAnsi="宋体" w:eastAsia="宋体" w:cs="宋体"/>
          <w:sz w:val="21"/>
          <w:szCs w:val="21"/>
        </w:rPr>
        <w:t>补贴医疗保险条款</w:t>
      </w:r>
      <w:bookmarkEnd w:id="0"/>
      <w:bookmarkEnd w:id="1"/>
      <w:bookmarkEnd w:id="2"/>
    </w:p>
    <w:p w14:paraId="174D569E">
      <w:pPr>
        <w:widowControl/>
        <w:adjustRightInd w:val="0"/>
        <w:snapToGrid w:val="0"/>
        <w:spacing w:line="300" w:lineRule="exact"/>
        <w:rPr>
          <w:rFonts w:ascii="宋体" w:hAnsi="宋体" w:cs="宋体"/>
          <w:b/>
          <w:bCs/>
          <w:color w:val="000000"/>
          <w:kern w:val="0"/>
          <w:szCs w:val="21"/>
        </w:rPr>
      </w:pPr>
    </w:p>
    <w:p w14:paraId="6B8A8C62">
      <w:pPr>
        <w:widowControl/>
        <w:adjustRightInd w:val="0"/>
        <w:snapToGrid w:val="0"/>
        <w:spacing w:line="300" w:lineRule="exact"/>
        <w:jc w:val="center"/>
        <w:rPr>
          <w:rFonts w:ascii="宋体" w:hAnsi="宋体" w:cs="宋体"/>
          <w:b/>
          <w:bCs/>
          <w:color w:val="000000"/>
          <w:szCs w:val="21"/>
        </w:rPr>
      </w:pPr>
      <w:r>
        <w:rPr>
          <w:rFonts w:hint="eastAsia" w:ascii="宋体" w:hAnsi="宋体" w:cs="宋体"/>
          <w:b/>
          <w:bCs/>
          <w:color w:val="000000"/>
          <w:kern w:val="0"/>
          <w:szCs w:val="21"/>
        </w:rPr>
        <w:t>总则</w:t>
      </w:r>
    </w:p>
    <w:p w14:paraId="3AD5D2F5">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第一条 </w:t>
      </w:r>
      <w:r>
        <w:rPr>
          <w:rFonts w:hint="eastAsia" w:ascii="宋体" w:hAnsi="宋体" w:cs="宋体"/>
          <w:color w:val="000000"/>
          <w:kern w:val="0"/>
          <w:szCs w:val="21"/>
        </w:rPr>
        <w:t>本附加保险合同（以下简称“本附加合同”）附加于主险合同。凡主险合同内容与本附加合同相关者及本保险条款，均为本附加合同的构成部分。</w:t>
      </w:r>
    </w:p>
    <w:p w14:paraId="202C3B2F">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本保险条款未尽事项，以主险保险条款为准；若主险保险条款与本保险条款内容冲突，则以本保险条款为准。</w:t>
      </w:r>
    </w:p>
    <w:p w14:paraId="16CDDA9B">
      <w:pPr>
        <w:widowControl/>
        <w:adjustRightInd w:val="0"/>
        <w:snapToGrid w:val="0"/>
        <w:spacing w:line="300" w:lineRule="exact"/>
        <w:ind w:firstLine="440" w:firstLineChars="200"/>
        <w:rPr>
          <w:rFonts w:ascii="宋体" w:hAnsi="宋体" w:cs="宋体"/>
          <w:b/>
          <w:bCs/>
          <w:color w:val="000000"/>
          <w:spacing w:val="5"/>
          <w:szCs w:val="21"/>
        </w:rPr>
      </w:pPr>
      <w:r>
        <w:rPr>
          <w:rFonts w:hint="eastAsia" w:ascii="宋体" w:hAnsi="宋体" w:cs="宋体"/>
          <w:color w:val="000000"/>
          <w:spacing w:val="5"/>
          <w:kern w:val="0"/>
          <w:szCs w:val="21"/>
        </w:rPr>
        <w:t>主险合同效力终止，本附加合同效力亦同时终止。</w:t>
      </w:r>
    </w:p>
    <w:p w14:paraId="3E786941">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 xml:space="preserve">第二条 </w:t>
      </w:r>
      <w:r>
        <w:rPr>
          <w:rFonts w:hint="eastAsia" w:ascii="宋体" w:hAnsi="宋体" w:cs="宋体"/>
          <w:color w:val="000000"/>
          <w:kern w:val="0"/>
          <w:szCs w:val="21"/>
        </w:rPr>
        <w:t>本附加合同被保险人、投保人同主险合同。</w:t>
      </w:r>
    </w:p>
    <w:p w14:paraId="57283C14">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第三条</w:t>
      </w:r>
      <w:r>
        <w:rPr>
          <w:rFonts w:hint="eastAsia" w:ascii="宋体" w:hAnsi="宋体" w:cs="宋体"/>
          <w:color w:val="000000"/>
          <w:kern w:val="0"/>
          <w:szCs w:val="21"/>
        </w:rPr>
        <w:t>除本附加合同另有约定外，本附加合同保险金的受益人为被保险人本人。</w:t>
      </w:r>
    </w:p>
    <w:p w14:paraId="077F8C41">
      <w:pPr>
        <w:widowControl/>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保险责任</w:t>
      </w:r>
    </w:p>
    <w:p w14:paraId="3A0FC144">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第四条</w:t>
      </w:r>
      <w:r>
        <w:rPr>
          <w:rFonts w:hint="eastAsia" w:ascii="宋体" w:hAnsi="宋体" w:cs="宋体"/>
          <w:color w:val="000000"/>
          <w:spacing w:val="5"/>
          <w:kern w:val="0"/>
          <w:szCs w:val="21"/>
        </w:rPr>
        <w:t>在保险期间内，被保险人遭受意外并直接、完全因该意外而经</w:t>
      </w:r>
      <w:r>
        <w:rPr>
          <w:rFonts w:hint="eastAsia" w:ascii="宋体" w:hAnsi="宋体" w:cs="宋体"/>
          <w:color w:val="000000"/>
          <w:kern w:val="0"/>
          <w:szCs w:val="21"/>
        </w:rPr>
        <w:t>保险人指定或者认可的医疗机构的</w:t>
      </w:r>
      <w:r>
        <w:rPr>
          <w:rFonts w:hint="eastAsia" w:ascii="宋体" w:hAnsi="宋体" w:cs="宋体"/>
          <w:color w:val="000000"/>
          <w:spacing w:val="5"/>
          <w:kern w:val="0"/>
          <w:szCs w:val="21"/>
        </w:rPr>
        <w:t>医生诊断必须住院接受治疗的，除本附加合同另有约定外，保险人按“（每次实际住院日数-3）×该被保险人意外住院日补贴金额”给付意外住院补贴保险金。</w:t>
      </w:r>
      <w:r>
        <w:rPr>
          <w:rFonts w:hint="eastAsia" w:ascii="宋体" w:hAnsi="宋体" w:cs="宋体"/>
          <w:color w:val="000000"/>
          <w:kern w:val="0"/>
          <w:szCs w:val="21"/>
        </w:rPr>
        <w:t>若保险期间届满时该被保险人住院治疗仍未结束，保险人继续承担意外住院补贴保险责任至其当次住院出院之时或者对应意外发生之日起第一百八十日二十四时（以先发生者为准）止。</w:t>
      </w:r>
    </w:p>
    <w:p w14:paraId="3D736FBE">
      <w:pPr>
        <w:widowControl/>
        <w:adjustRightInd w:val="0"/>
        <w:snapToGrid w:val="0"/>
        <w:spacing w:line="300" w:lineRule="exact"/>
        <w:ind w:firstLine="420" w:firstLineChars="200"/>
        <w:rPr>
          <w:rFonts w:ascii="宋体" w:hAnsi="宋体" w:cs="宋体"/>
          <w:szCs w:val="21"/>
        </w:rPr>
      </w:pPr>
      <w:r>
        <w:rPr>
          <w:rFonts w:hint="eastAsia" w:ascii="宋体" w:hAnsi="宋体" w:cs="宋体"/>
          <w:color w:val="000000"/>
          <w:kern w:val="0"/>
          <w:szCs w:val="21"/>
        </w:rPr>
        <w:t>保险人根据本附加合同针对每一被保险人给付的意外住院补贴保险金的日数累计以一百八十日为上限，当达到该限额时，本附加合同约定的对该被保险人的保险责任终止。</w:t>
      </w:r>
    </w:p>
    <w:p w14:paraId="685D9749">
      <w:pPr>
        <w:widowControl/>
        <w:adjustRightInd w:val="0"/>
        <w:snapToGrid w:val="0"/>
        <w:spacing w:line="300" w:lineRule="exact"/>
        <w:rPr>
          <w:rFonts w:ascii="宋体" w:hAnsi="宋体" w:cs="宋体"/>
          <w:szCs w:val="21"/>
        </w:rPr>
      </w:pPr>
      <w:r>
        <w:rPr>
          <w:rFonts w:hint="eastAsia" w:ascii="宋体" w:hAnsi="宋体" w:cs="宋体"/>
          <w:b/>
          <w:bCs/>
          <w:color w:val="000000"/>
          <w:kern w:val="0"/>
          <w:szCs w:val="21"/>
        </w:rPr>
        <w:t>责任免除</w:t>
      </w:r>
    </w:p>
    <w:p w14:paraId="09EE0756">
      <w:pPr>
        <w:widowControl/>
        <w:adjustRightInd w:val="0"/>
        <w:snapToGrid w:val="0"/>
        <w:spacing w:line="300" w:lineRule="exact"/>
        <w:ind w:firstLine="413" w:firstLineChars="196"/>
        <w:rPr>
          <w:rFonts w:ascii="宋体" w:hAnsi="宋体" w:cs="宋体"/>
          <w:szCs w:val="21"/>
        </w:rPr>
      </w:pPr>
      <w:r>
        <w:rPr>
          <w:rFonts w:hint="eastAsia" w:ascii="宋体" w:hAnsi="宋体" w:cs="宋体"/>
          <w:b/>
          <w:bCs/>
          <w:color w:val="000000"/>
          <w:kern w:val="0"/>
          <w:szCs w:val="21"/>
        </w:rPr>
        <w:t>第五条 被保险人住院治疗具有下列任何情形的，保险人不承担给付保险金的责任：</w:t>
      </w:r>
    </w:p>
    <w:p w14:paraId="08E19BB7">
      <w:pPr>
        <w:widowControl/>
        <w:tabs>
          <w:tab w:val="left" w:pos="1080"/>
          <w:tab w:val="left" w:pos="1260"/>
          <w:tab w:val="left" w:pos="1440"/>
          <w:tab w:val="left" w:pos="1620"/>
          <w:tab w:val="left" w:pos="1800"/>
          <w:tab w:val="left" w:pos="1980"/>
        </w:tabs>
        <w:adjustRightInd w:val="0"/>
        <w:snapToGrid w:val="0"/>
        <w:spacing w:line="300" w:lineRule="exact"/>
        <w:ind w:firstLine="360"/>
        <w:rPr>
          <w:rFonts w:ascii="宋体" w:hAnsi="宋体" w:cs="宋体"/>
          <w:szCs w:val="21"/>
        </w:rPr>
      </w:pPr>
      <w:r>
        <w:rPr>
          <w:rFonts w:hint="eastAsia" w:ascii="宋体" w:hAnsi="宋体" w:cs="宋体"/>
          <w:b/>
          <w:bCs/>
          <w:color w:val="000000"/>
          <w:kern w:val="0"/>
          <w:szCs w:val="21"/>
        </w:rPr>
        <w:t>（一）因主险合同中列明的责任免除事项而住院接受治疗，或者住院治疗与主险合同中列明的责任免除事项相关；</w:t>
      </w:r>
    </w:p>
    <w:p w14:paraId="35391C19">
      <w:pPr>
        <w:widowControl/>
        <w:tabs>
          <w:tab w:val="left" w:pos="1080"/>
          <w:tab w:val="left" w:pos="1260"/>
          <w:tab w:val="left" w:pos="1440"/>
          <w:tab w:val="left" w:pos="1620"/>
          <w:tab w:val="left" w:pos="1800"/>
          <w:tab w:val="left" w:pos="1980"/>
        </w:tabs>
        <w:adjustRightInd w:val="0"/>
        <w:snapToGrid w:val="0"/>
        <w:spacing w:line="300" w:lineRule="exact"/>
        <w:ind w:firstLine="360"/>
        <w:rPr>
          <w:rFonts w:ascii="宋体" w:hAnsi="宋体" w:cs="宋体"/>
          <w:szCs w:val="21"/>
        </w:rPr>
      </w:pPr>
      <w:r>
        <w:rPr>
          <w:rFonts w:hint="eastAsia" w:ascii="宋体" w:hAnsi="宋体" w:cs="宋体"/>
          <w:b/>
          <w:bCs/>
          <w:color w:val="000000"/>
          <w:kern w:val="0"/>
          <w:szCs w:val="21"/>
        </w:rPr>
        <w:t>（二）非直接用以治疗由意外引致的伤害而发生的住院治疗，对已有伤害的住院治疗；</w:t>
      </w:r>
    </w:p>
    <w:p w14:paraId="76D3EDBD">
      <w:pPr>
        <w:widowControl/>
        <w:tabs>
          <w:tab w:val="left" w:pos="1080"/>
          <w:tab w:val="left" w:pos="1260"/>
          <w:tab w:val="left" w:pos="1440"/>
          <w:tab w:val="left" w:pos="1620"/>
          <w:tab w:val="left" w:pos="1800"/>
          <w:tab w:val="left" w:pos="1980"/>
        </w:tabs>
        <w:adjustRightInd w:val="0"/>
        <w:snapToGrid w:val="0"/>
        <w:spacing w:line="300" w:lineRule="exact"/>
        <w:ind w:firstLine="360"/>
        <w:rPr>
          <w:rFonts w:ascii="宋体" w:hAnsi="宋体" w:cs="宋体"/>
          <w:b/>
          <w:bCs/>
          <w:color w:val="000000"/>
          <w:szCs w:val="21"/>
        </w:rPr>
      </w:pPr>
      <w:r>
        <w:rPr>
          <w:rFonts w:hint="eastAsia" w:ascii="宋体" w:hAnsi="宋体" w:cs="宋体"/>
          <w:b/>
          <w:bCs/>
          <w:color w:val="000000"/>
          <w:kern w:val="0"/>
          <w:szCs w:val="21"/>
        </w:rPr>
        <w:t>（三）非医学必须的住院，包括但不限于以预防性手术、健康护理、疗养、静养、康复为主要目的的住院医疗行为；</w:t>
      </w:r>
    </w:p>
    <w:p w14:paraId="79D7C29C">
      <w:pPr>
        <w:widowControl/>
        <w:tabs>
          <w:tab w:val="left" w:pos="1080"/>
          <w:tab w:val="left" w:pos="1260"/>
          <w:tab w:val="left" w:pos="1440"/>
          <w:tab w:val="left" w:pos="1620"/>
          <w:tab w:val="left" w:pos="1800"/>
          <w:tab w:val="left" w:pos="1980"/>
        </w:tabs>
        <w:adjustRightInd w:val="0"/>
        <w:snapToGrid w:val="0"/>
        <w:spacing w:line="300" w:lineRule="exact"/>
        <w:ind w:firstLine="360"/>
        <w:rPr>
          <w:rFonts w:ascii="宋体" w:hAnsi="宋体" w:cs="宋体"/>
          <w:b/>
          <w:bCs/>
          <w:color w:val="000000"/>
          <w:szCs w:val="21"/>
        </w:rPr>
      </w:pPr>
      <w:r>
        <w:rPr>
          <w:rFonts w:hint="eastAsia" w:ascii="宋体" w:hAnsi="宋体" w:cs="宋体"/>
          <w:b/>
          <w:bCs/>
          <w:color w:val="000000"/>
          <w:kern w:val="0"/>
          <w:szCs w:val="21"/>
        </w:rPr>
        <w:t>（四）在境外医院、中外合资医院、民营医院、康复中心、联合诊所、特需（色）门诊、特需病房等非保险人指定或者认可的医疗机构住院接受治疗。</w:t>
      </w:r>
    </w:p>
    <w:p w14:paraId="367418C7">
      <w:pPr>
        <w:widowControl/>
        <w:tabs>
          <w:tab w:val="left" w:pos="1260"/>
          <w:tab w:val="left" w:pos="1440"/>
          <w:tab w:val="left" w:pos="1620"/>
          <w:tab w:val="left" w:pos="1800"/>
          <w:tab w:val="left" w:pos="1980"/>
        </w:tabs>
        <w:adjustRightInd w:val="0"/>
        <w:snapToGrid w:val="0"/>
        <w:spacing w:line="300" w:lineRule="exact"/>
        <w:rPr>
          <w:rFonts w:ascii="宋体" w:hAnsi="宋体" w:cs="宋体"/>
          <w:b/>
          <w:bCs/>
          <w:color w:val="000000"/>
          <w:szCs w:val="21"/>
        </w:rPr>
      </w:pPr>
      <w:r>
        <w:rPr>
          <w:rFonts w:hint="eastAsia" w:ascii="宋体" w:hAnsi="宋体" w:cs="宋体"/>
          <w:b/>
          <w:bCs/>
          <w:color w:val="000000"/>
          <w:kern w:val="0"/>
          <w:szCs w:val="21"/>
        </w:rPr>
        <w:t>保险金额</w:t>
      </w:r>
    </w:p>
    <w:p w14:paraId="5BC282BC">
      <w:pPr>
        <w:widowControl/>
        <w:adjustRightInd w:val="0"/>
        <w:snapToGrid w:val="0"/>
        <w:spacing w:line="300" w:lineRule="exact"/>
        <w:ind w:firstLine="422" w:firstLineChars="200"/>
        <w:rPr>
          <w:rFonts w:ascii="宋体" w:hAnsi="宋体" w:cs="宋体"/>
          <w:szCs w:val="21"/>
        </w:rPr>
      </w:pPr>
      <w:r>
        <w:rPr>
          <w:rFonts w:hint="eastAsia" w:ascii="宋体" w:hAnsi="宋体" w:cs="宋体"/>
          <w:b/>
          <w:bCs/>
          <w:color w:val="000000"/>
          <w:kern w:val="0"/>
          <w:szCs w:val="21"/>
        </w:rPr>
        <w:t>第六条</w:t>
      </w:r>
      <w:r>
        <w:rPr>
          <w:rFonts w:hint="eastAsia" w:ascii="宋体" w:hAnsi="宋体" w:cs="宋体"/>
          <w:color w:val="000000"/>
          <w:kern w:val="0"/>
          <w:szCs w:val="21"/>
        </w:rPr>
        <w:t xml:space="preserve"> 每一被保险人的意外住院日补贴金额由投保人与保险人约定，并于本附加合同中载明。</w:t>
      </w:r>
    </w:p>
    <w:p w14:paraId="7EAD103C">
      <w:pPr>
        <w:widowControl/>
        <w:adjustRightInd w:val="0"/>
        <w:snapToGrid w:val="0"/>
        <w:spacing w:line="300" w:lineRule="exact"/>
        <w:rPr>
          <w:rFonts w:ascii="宋体" w:hAnsi="宋体" w:cs="宋体"/>
          <w:b/>
          <w:bCs/>
          <w:szCs w:val="21"/>
        </w:rPr>
      </w:pPr>
      <w:r>
        <w:rPr>
          <w:rFonts w:hint="eastAsia" w:ascii="宋体" w:hAnsi="宋体" w:cs="宋体"/>
          <w:b/>
          <w:bCs/>
          <w:kern w:val="0"/>
          <w:szCs w:val="21"/>
        </w:rPr>
        <w:t>保险金的申请与给付</w:t>
      </w:r>
    </w:p>
    <w:p w14:paraId="62D0F6BD">
      <w:pPr>
        <w:widowControl/>
        <w:adjustRightInd w:val="0"/>
        <w:snapToGrid w:val="0"/>
        <w:spacing w:line="300" w:lineRule="exact"/>
        <w:ind w:firstLine="422" w:firstLineChars="200"/>
        <w:rPr>
          <w:rFonts w:ascii="宋体" w:hAnsi="宋体" w:cs="宋体"/>
          <w:b/>
          <w:bCs/>
          <w:color w:val="000000"/>
          <w:szCs w:val="21"/>
        </w:rPr>
      </w:pPr>
      <w:r>
        <w:rPr>
          <w:rFonts w:hint="eastAsia" w:ascii="宋体" w:hAnsi="宋体" w:cs="宋体"/>
          <w:b/>
          <w:bCs/>
          <w:color w:val="000000"/>
          <w:kern w:val="0"/>
          <w:szCs w:val="21"/>
        </w:rPr>
        <w:t xml:space="preserve">第七条 </w:t>
      </w:r>
      <w:r>
        <w:rPr>
          <w:rFonts w:hint="eastAsia" w:ascii="宋体" w:hAnsi="宋体" w:cs="宋体"/>
          <w:color w:val="000000"/>
          <w:kern w:val="0"/>
          <w:szCs w:val="21"/>
        </w:rPr>
        <w:t>保险金申请人向保险人申请给付保险金时，应当以书面形式提交下列证明和资料。保险金申请人因特殊原因不能提供下列证明和资料的，应当提供其他合法、有效的证明和资料。</w:t>
      </w:r>
      <w:r>
        <w:rPr>
          <w:rFonts w:hint="eastAsia" w:ascii="宋体" w:hAnsi="宋体" w:cs="宋体"/>
          <w:b/>
          <w:bCs/>
          <w:color w:val="000000"/>
          <w:kern w:val="0"/>
          <w:szCs w:val="21"/>
        </w:rPr>
        <w:t>保险金申请人未能提供有关证明和资料，导致保险人无法核实该申请的真实性的，保险人对无法核实部分不承担给付保险金的责任。</w:t>
      </w:r>
    </w:p>
    <w:p w14:paraId="67D59720">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1.保险金给付申请书；</w:t>
      </w:r>
    </w:p>
    <w:p w14:paraId="6BEA441B">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2.附加保险合同原件；</w:t>
      </w:r>
    </w:p>
    <w:p w14:paraId="123135AB">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3.保险金申请人的身份证明、户籍证明，若保险金申请人委托他人申请的，还须提供受托人身份证明、授权委托书；</w:t>
      </w:r>
    </w:p>
    <w:p w14:paraId="017C0C14">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4.保险人认可的机构（包括公安部门）出具的意外事故证明；</w:t>
      </w:r>
    </w:p>
    <w:p w14:paraId="4E00D7CC">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5.保险人指定或者认可的医疗机构出具的出院小结、诊断证明、病历；</w:t>
      </w:r>
    </w:p>
    <w:p w14:paraId="5EFCC637">
      <w:pPr>
        <w:widowControl/>
        <w:adjustRightInd w:val="0"/>
        <w:snapToGrid w:val="0"/>
        <w:spacing w:line="300" w:lineRule="exact"/>
        <w:ind w:firstLine="420" w:firstLineChars="200"/>
        <w:rPr>
          <w:rFonts w:ascii="宋体" w:hAnsi="宋体" w:cs="宋体"/>
          <w:color w:val="000000"/>
          <w:szCs w:val="21"/>
        </w:rPr>
      </w:pPr>
      <w:r>
        <w:rPr>
          <w:rFonts w:hint="eastAsia" w:ascii="宋体" w:hAnsi="宋体" w:cs="宋体"/>
          <w:color w:val="000000"/>
          <w:kern w:val="0"/>
          <w:szCs w:val="21"/>
        </w:rPr>
        <w:t>6.投保人、被保险人或者保险金申请人所能提供的其他与确认事故的性质、原因、损失程度等有关的证明和资料。</w:t>
      </w:r>
    </w:p>
    <w:p w14:paraId="04421870">
      <w:pPr>
        <w:widowControl/>
        <w:adjustRightInd w:val="0"/>
        <w:snapToGrid w:val="0"/>
        <w:spacing w:line="300" w:lineRule="exact"/>
        <w:ind w:firstLine="422" w:firstLineChars="200"/>
        <w:rPr>
          <w:rFonts w:ascii="宋体" w:hAnsi="宋体" w:cs="宋体"/>
          <w:color w:val="000000"/>
          <w:szCs w:val="21"/>
        </w:rPr>
      </w:pPr>
      <w:r>
        <w:rPr>
          <w:rFonts w:hint="eastAsia" w:ascii="宋体" w:hAnsi="宋体" w:cs="宋体"/>
          <w:b/>
          <w:bCs/>
          <w:color w:val="000000"/>
          <w:kern w:val="0"/>
          <w:szCs w:val="21"/>
        </w:rPr>
        <w:t>第八条</w:t>
      </w:r>
      <w:r>
        <w:rPr>
          <w:rFonts w:hint="eastAsia" w:ascii="宋体" w:hAnsi="宋体" w:cs="宋体"/>
          <w:color w:val="000000"/>
          <w:kern w:val="0"/>
          <w:szCs w:val="21"/>
        </w:rPr>
        <w:t xml:space="preserve"> 被保险人遭受事故的，保险人有权对投保人、被保险人、保险金申请人和有关医疗机构等进行调查和检查，投保人、被保险人、保险金申请人等应当予以充分配合。</w:t>
      </w:r>
    </w:p>
    <w:p w14:paraId="62136C94">
      <w:pPr>
        <w:widowControl/>
        <w:adjustRightInd w:val="0"/>
        <w:snapToGrid w:val="0"/>
        <w:spacing w:line="300" w:lineRule="exact"/>
        <w:ind w:firstLine="542"/>
        <w:rPr>
          <w:rFonts w:ascii="宋体" w:hAnsi="宋体" w:cs="宋体"/>
          <w:color w:val="000000"/>
          <w:szCs w:val="21"/>
        </w:rPr>
      </w:pPr>
      <w:r>
        <w:rPr>
          <w:rFonts w:hint="eastAsia" w:ascii="宋体" w:hAnsi="宋体" w:cs="宋体"/>
          <w:b/>
          <w:bCs/>
          <w:color w:val="000000"/>
          <w:kern w:val="0"/>
          <w:szCs w:val="21"/>
        </w:rPr>
        <w:t xml:space="preserve">第九条 </w:t>
      </w:r>
      <w:r>
        <w:rPr>
          <w:rFonts w:hint="eastAsia" w:ascii="宋体" w:hAnsi="宋体" w:cs="宋体"/>
          <w:color w:val="000000"/>
          <w:kern w:val="0"/>
          <w:szCs w:val="21"/>
        </w:rPr>
        <w:t>保险金申请人对保险人请求给付保险金的诉讼时效期间为二年，自其知道或者应当知道保险事故发生之日起计算。</w:t>
      </w:r>
    </w:p>
    <w:p w14:paraId="1F34599C">
      <w:pPr>
        <w:widowControl/>
        <w:adjustRightInd w:val="0"/>
        <w:snapToGrid w:val="0"/>
        <w:spacing w:line="300" w:lineRule="exact"/>
        <w:rPr>
          <w:rFonts w:ascii="宋体" w:hAnsi="宋体" w:cs="宋体"/>
          <w:color w:val="000000"/>
          <w:spacing w:val="5"/>
          <w:szCs w:val="21"/>
        </w:rPr>
      </w:pPr>
      <w:r>
        <w:rPr>
          <w:rFonts w:hint="eastAsia" w:ascii="宋体" w:hAnsi="宋体" w:cs="宋体"/>
          <w:b/>
          <w:bCs/>
          <w:color w:val="000000"/>
          <w:kern w:val="0"/>
          <w:szCs w:val="21"/>
        </w:rPr>
        <w:t>释义</w:t>
      </w:r>
    </w:p>
    <w:p w14:paraId="239E6A1D">
      <w:pPr>
        <w:widowControl/>
        <w:adjustRightInd w:val="0"/>
        <w:snapToGrid w:val="0"/>
        <w:spacing w:line="300" w:lineRule="exact"/>
        <w:ind w:firstLine="422" w:firstLineChars="200"/>
        <w:rPr>
          <w:rFonts w:ascii="宋体" w:hAnsi="宋体" w:cs="宋体"/>
          <w:b/>
          <w:bCs/>
          <w:color w:val="000000"/>
          <w:spacing w:val="5"/>
          <w:szCs w:val="21"/>
        </w:rPr>
      </w:pPr>
      <w:r>
        <w:rPr>
          <w:rFonts w:hint="eastAsia" w:ascii="宋体" w:hAnsi="宋体" w:cs="宋体"/>
          <w:b/>
          <w:bCs/>
          <w:color w:val="000000"/>
          <w:kern w:val="0"/>
          <w:szCs w:val="21"/>
        </w:rPr>
        <w:t>意外：</w:t>
      </w:r>
      <w:r>
        <w:rPr>
          <w:rFonts w:hint="eastAsia" w:ascii="宋体" w:hAnsi="宋体" w:cs="宋体"/>
          <w:color w:val="000000"/>
          <w:kern w:val="0"/>
          <w:szCs w:val="21"/>
        </w:rPr>
        <w:t>指外来的、突发的、非本意的、非疾病的使身体受到伤害的客观事件。</w:t>
      </w:r>
    </w:p>
    <w:p w14:paraId="7021C396">
      <w:pPr>
        <w:widowControl/>
        <w:adjustRightInd w:val="0"/>
        <w:snapToGrid w:val="0"/>
        <w:spacing w:line="300" w:lineRule="exact"/>
        <w:ind w:firstLine="442" w:firstLineChars="200"/>
        <w:rPr>
          <w:rFonts w:ascii="宋体" w:hAnsi="宋体" w:cs="宋体"/>
          <w:color w:val="000000"/>
          <w:szCs w:val="21"/>
        </w:rPr>
      </w:pPr>
      <w:r>
        <w:rPr>
          <w:rFonts w:hint="eastAsia" w:ascii="宋体" w:hAnsi="宋体" w:cs="宋体"/>
          <w:b/>
          <w:bCs/>
          <w:color w:val="000000"/>
          <w:spacing w:val="5"/>
          <w:kern w:val="0"/>
          <w:szCs w:val="21"/>
        </w:rPr>
        <w:t>保险人指定或者认可的医疗机构：</w:t>
      </w:r>
      <w:r>
        <w:rPr>
          <w:rFonts w:hint="eastAsia" w:ascii="宋体" w:hAnsi="宋体" w:cs="宋体"/>
          <w:color w:val="000000"/>
          <w:kern w:val="0"/>
          <w:szCs w:val="21"/>
        </w:rPr>
        <w:t>包括保险人指定医疗机构，以及符合下列条件的医疗机构：境内二级以上（含），</w:t>
      </w:r>
      <w:r>
        <w:rPr>
          <w:rFonts w:hint="eastAsia" w:ascii="宋体" w:hAnsi="宋体" w:cs="宋体"/>
          <w:color w:val="000000"/>
          <w:spacing w:val="5"/>
          <w:kern w:val="0"/>
          <w:szCs w:val="21"/>
        </w:rPr>
        <w:t>具有符合有关医院管理规定设置标准的医疗设备，并且提供二十四小时有合格医师及护士的医疗和护理等服务的医疗机构，但不包括主要为康复、护理、疗养、戒酒、戒毒或者相类似目的的医疗机构</w:t>
      </w:r>
      <w:r>
        <w:rPr>
          <w:rFonts w:hint="eastAsia" w:ascii="宋体" w:hAnsi="宋体" w:cs="宋体"/>
          <w:color w:val="000000"/>
          <w:kern w:val="0"/>
          <w:szCs w:val="21"/>
        </w:rPr>
        <w:t>。</w:t>
      </w:r>
    </w:p>
    <w:p w14:paraId="59092F85">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住院：</w:t>
      </w:r>
      <w:r>
        <w:rPr>
          <w:rFonts w:hint="eastAsia" w:ascii="宋体" w:hAnsi="宋体" w:cs="宋体"/>
          <w:color w:val="000000"/>
          <w:kern w:val="0"/>
          <w:szCs w:val="21"/>
        </w:rPr>
        <w:t>指入住保险人指定或者认可的医疗机构的正式病房，并办理入出院手续，不包括门（急）诊观察室诊疗、家庭病床、挂床住院、其他非正式的病床住院及不合理住院</w:t>
      </w:r>
      <w:r>
        <w:rPr>
          <w:rFonts w:hint="eastAsia" w:ascii="宋体" w:hAnsi="宋体" w:cs="宋体"/>
          <w:color w:val="000000"/>
          <w:spacing w:val="5"/>
          <w:kern w:val="0"/>
          <w:szCs w:val="21"/>
        </w:rPr>
        <w:t>。被保险人因非医疗目的自行离开病房十二小时以上（含）的，视为自动出院。</w:t>
      </w:r>
    </w:p>
    <w:p w14:paraId="10EA1E1C">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挂床：</w:t>
      </w:r>
      <w:r>
        <w:rPr>
          <w:rFonts w:hint="eastAsia" w:ascii="宋体" w:hAnsi="宋体" w:cs="宋体"/>
          <w:color w:val="000000"/>
          <w:spacing w:val="5"/>
          <w:kern w:val="0"/>
          <w:szCs w:val="21"/>
        </w:rPr>
        <w:t>指住院过程中一日内未接受与入院诊断相关的检查和治疗或者一日内住院不满二十四小时。遵医嘱到外院接受临时诊疗的不在此限。</w:t>
      </w:r>
    </w:p>
    <w:p w14:paraId="7566D9B9">
      <w:pPr>
        <w:widowControl/>
        <w:adjustRightInd w:val="0"/>
        <w:snapToGrid w:val="0"/>
        <w:spacing w:line="300" w:lineRule="exact"/>
        <w:ind w:firstLine="415" w:firstLineChars="197"/>
        <w:rPr>
          <w:rFonts w:ascii="宋体" w:hAnsi="宋体" w:cs="宋体"/>
          <w:color w:val="000000"/>
          <w:spacing w:val="5"/>
          <w:szCs w:val="21"/>
        </w:rPr>
      </w:pPr>
      <w:r>
        <w:rPr>
          <w:rFonts w:hint="eastAsia" w:ascii="宋体" w:hAnsi="宋体" w:cs="宋体"/>
          <w:b/>
          <w:bCs/>
          <w:color w:val="000000"/>
          <w:kern w:val="0"/>
          <w:szCs w:val="21"/>
        </w:rPr>
        <w:t>每次实际住院日数：</w:t>
      </w:r>
      <w:r>
        <w:rPr>
          <w:rFonts w:hint="eastAsia" w:ascii="宋体" w:hAnsi="宋体" w:cs="宋体"/>
          <w:color w:val="000000"/>
          <w:kern w:val="0"/>
          <w:szCs w:val="21"/>
        </w:rPr>
        <w:t>指自入院日至当次住院出院日间经过日数（不含出院当日），不包括被保险人在住院治疗期间有擅自离院情形的日数。</w:t>
      </w:r>
    </w:p>
    <w:p w14:paraId="15C8A4DB">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境内：</w:t>
      </w:r>
      <w:r>
        <w:rPr>
          <w:rFonts w:hint="eastAsia" w:ascii="宋体" w:hAnsi="宋体" w:cs="宋体"/>
          <w:color w:val="000000"/>
          <w:spacing w:val="5"/>
          <w:kern w:val="0"/>
          <w:szCs w:val="21"/>
        </w:rPr>
        <w:t>指中国大陆地区。</w:t>
      </w:r>
    </w:p>
    <w:p w14:paraId="30737C12">
      <w:pPr>
        <w:widowControl/>
        <w:adjustRightInd w:val="0"/>
        <w:snapToGrid w:val="0"/>
        <w:spacing w:line="300" w:lineRule="exact"/>
        <w:ind w:firstLine="442" w:firstLineChars="200"/>
        <w:rPr>
          <w:rFonts w:ascii="宋体" w:hAnsi="宋体" w:cs="宋体"/>
          <w:color w:val="000000"/>
          <w:spacing w:val="5"/>
          <w:szCs w:val="21"/>
        </w:rPr>
      </w:pPr>
      <w:r>
        <w:rPr>
          <w:rFonts w:hint="eastAsia" w:ascii="宋体" w:hAnsi="宋体" w:cs="宋体"/>
          <w:b/>
          <w:bCs/>
          <w:color w:val="000000"/>
          <w:spacing w:val="5"/>
          <w:kern w:val="0"/>
          <w:szCs w:val="21"/>
        </w:rPr>
        <w:t>境外：</w:t>
      </w:r>
      <w:r>
        <w:rPr>
          <w:rFonts w:hint="eastAsia" w:ascii="宋体" w:hAnsi="宋体" w:cs="宋体"/>
          <w:color w:val="000000"/>
          <w:spacing w:val="5"/>
          <w:kern w:val="0"/>
          <w:szCs w:val="21"/>
        </w:rPr>
        <w:t>非境内。</w:t>
      </w:r>
    </w:p>
    <w:p w14:paraId="4E2C1A08">
      <w:pPr>
        <w:pStyle w:val="5"/>
        <w:rPr>
          <w:rFonts w:hint="eastAsia" w:ascii="宋体" w:hAnsi="宋体" w:cs="宋体"/>
          <w:color w:val="000000"/>
          <w:kern w:val="0"/>
          <w:szCs w:val="21"/>
        </w:rPr>
        <w:sectPr>
          <w:footerReference r:id="rId3" w:type="default"/>
          <w:pgSz w:w="11906" w:h="16838"/>
          <w:pgMar w:top="2098" w:right="1474" w:bottom="1984" w:left="1587" w:header="851" w:footer="992" w:gutter="0"/>
          <w:pgNumType w:fmt="decimal" w:start="1"/>
          <w:cols w:space="425" w:num="1"/>
          <w:docGrid w:type="lines" w:linePitch="312" w:charSpace="0"/>
        </w:sectPr>
      </w:pPr>
      <w:r>
        <w:rPr>
          <w:rFonts w:hint="eastAsia" w:ascii="宋体" w:hAnsi="宋体" w:cs="宋体"/>
          <w:b/>
          <w:bCs/>
          <w:color w:val="000000"/>
          <w:kern w:val="0"/>
          <w:szCs w:val="21"/>
        </w:rPr>
        <w:t>保险金申请人：</w:t>
      </w:r>
      <w:r>
        <w:rPr>
          <w:rFonts w:hint="eastAsia" w:ascii="宋体" w:hAnsi="宋体" w:cs="宋体"/>
          <w:color w:val="000000"/>
          <w:kern w:val="0"/>
          <w:szCs w:val="21"/>
        </w:rPr>
        <w:t>指受益人或者依法享有保险金请求权的其他人。</w:t>
      </w:r>
    </w:p>
    <w:p w14:paraId="7CE192D0">
      <w:pPr>
        <w:pStyle w:val="5"/>
        <w:rPr>
          <w:rFonts w:hint="eastAsia" w:ascii="宋体" w:hAnsi="宋体" w:cs="宋体"/>
          <w:color w:val="000000"/>
          <w:kern w:val="0"/>
          <w:szCs w:val="21"/>
        </w:rPr>
      </w:pPr>
    </w:p>
    <w:p w14:paraId="549FFE1A">
      <w:pPr>
        <w:pStyle w:val="2"/>
        <w:keepNext w:val="0"/>
        <w:keepLines w:val="0"/>
        <w:pageBreakBefore w:val="0"/>
        <w:widowControl/>
        <w:tabs>
          <w:tab w:val="left" w:pos="0"/>
        </w:tabs>
        <w:kinsoku/>
        <w:wordWrap/>
        <w:overflowPunct/>
        <w:topLinePunct w:val="0"/>
        <w:autoSpaceDE/>
        <w:autoSpaceDN/>
        <w:bidi w:val="0"/>
        <w:adjustRightInd w:val="0"/>
        <w:snapToGrid w:val="0"/>
        <w:spacing w:before="0" w:after="290" w:line="300" w:lineRule="exact"/>
        <w:ind w:left="0" w:leftChars="0" w:right="0" w:rightChars="0" w:firstLine="0" w:firstLineChars="0"/>
        <w:jc w:val="center"/>
        <w:textAlignment w:val="baseline"/>
        <w:outlineLvl w:val="1"/>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附加猝死保险条款</w:t>
      </w:r>
    </w:p>
    <w:p w14:paraId="76C7598D">
      <w:pPr>
        <w:rPr>
          <w:rFonts w:hint="eastAsia" w:ascii="宋体" w:hAnsi="宋体" w:eastAsia="宋体" w:cs="宋体"/>
          <w:lang w:val="en-US" w:eastAsia="zh-Hans"/>
        </w:rPr>
      </w:pPr>
    </w:p>
    <w:p w14:paraId="29DACAD9">
      <w:pPr>
        <w:widowControl/>
        <w:adjustRightInd w:val="0"/>
        <w:snapToGrid w:val="0"/>
        <w:spacing w:line="300" w:lineRule="exact"/>
        <w:jc w:val="center"/>
        <w:rPr>
          <w:rFonts w:hint="eastAsia" w:ascii="宋体" w:hAnsi="宋体" w:eastAsia="宋体" w:cs="宋体"/>
          <w:b/>
          <w:bCs/>
          <w:color w:val="000000"/>
          <w:szCs w:val="21"/>
        </w:rPr>
      </w:pPr>
      <w:r>
        <w:rPr>
          <w:rFonts w:hint="eastAsia" w:ascii="宋体" w:hAnsi="宋体" w:eastAsia="宋体" w:cs="宋体"/>
          <w:b/>
          <w:bCs/>
          <w:color w:val="000000"/>
          <w:szCs w:val="21"/>
        </w:rPr>
        <w:t>总则</w:t>
      </w:r>
    </w:p>
    <w:p w14:paraId="36342773">
      <w:pPr>
        <w:keepNext w:val="0"/>
        <w:keepLines w:val="0"/>
        <w:pageBreakBefore w:val="0"/>
        <w:kinsoku/>
        <w:wordWrap/>
        <w:overflowPunct/>
        <w:topLinePunct w:val="0"/>
        <w:autoSpaceDN/>
        <w:bidi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color w:val="000000"/>
          <w:kern w:val="0"/>
          <w:sz w:val="21"/>
          <w:szCs w:val="21"/>
          <w:lang w:val="en-US" w:eastAsia="zh-CN" w:bidi="ar-SA"/>
        </w:rPr>
        <w:t xml:space="preserve">第一条 </w:t>
      </w:r>
      <w:r>
        <w:rPr>
          <w:rFonts w:hint="eastAsia" w:ascii="宋体" w:hAnsi="宋体" w:eastAsia="宋体" w:cs="宋体"/>
          <w:szCs w:val="21"/>
        </w:rPr>
        <w:t>本保险是意外伤害类保险（以下简称“主险”）的附加险。在已投保主险的基础上，方可投保本附加险。</w:t>
      </w:r>
    </w:p>
    <w:p w14:paraId="52A7DD74">
      <w:pPr>
        <w:keepNext w:val="0"/>
        <w:keepLines w:val="0"/>
        <w:pageBreakBefore w:val="0"/>
        <w:kinsoku/>
        <w:wordWrap/>
        <w:overflowPunct/>
        <w:topLinePunct w:val="0"/>
        <w:autoSpaceDN/>
        <w:bidi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凡主险合同内容与本附加险合同相关的部分以及本附加险条款，均为本附加险合同的构成部分。</w:t>
      </w:r>
    </w:p>
    <w:p w14:paraId="6E0ABB39">
      <w:pPr>
        <w:keepNext w:val="0"/>
        <w:keepLines w:val="0"/>
        <w:pageBreakBefore w:val="0"/>
        <w:kinsoku/>
        <w:wordWrap/>
        <w:overflowPunct/>
        <w:topLinePunct w:val="0"/>
        <w:autoSpaceDN/>
        <w:bidi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本附加险条款未尽事宜，以主险条款为准；若本附加险条款与主险条款内容冲突，则以本附加险条款为准。</w:t>
      </w:r>
    </w:p>
    <w:p w14:paraId="503C88BF">
      <w:pPr>
        <w:keepNext w:val="0"/>
        <w:keepLines w:val="0"/>
        <w:pageBreakBefore w:val="0"/>
        <w:kinsoku/>
        <w:wordWrap/>
        <w:overflowPunct/>
        <w:topLinePunct w:val="0"/>
        <w:autoSpaceDN/>
        <w:bidi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主险合同终止的，本附加险合同同时终止；主险合同无效的，本附加险合同也无效。</w:t>
      </w:r>
    </w:p>
    <w:p w14:paraId="15081B17">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 xml:space="preserve">第二条 </w:t>
      </w:r>
      <w:r>
        <w:rPr>
          <w:rFonts w:hint="eastAsia" w:ascii="宋体" w:hAnsi="宋体" w:eastAsia="宋体" w:cs="宋体"/>
          <w:szCs w:val="21"/>
        </w:rPr>
        <w:t>本附加险合同的投保人、被保险人同主险合同。</w:t>
      </w:r>
    </w:p>
    <w:p w14:paraId="43CE5C17">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 xml:space="preserve">第三条 </w:t>
      </w:r>
      <w:r>
        <w:rPr>
          <w:rFonts w:hint="eastAsia" w:ascii="宋体" w:hAnsi="宋体" w:eastAsia="宋体" w:cs="宋体"/>
          <w:szCs w:val="21"/>
        </w:rPr>
        <w:t>被保险人或者投保人可指定一人或者数人为猝死保险金受益人。猝死保险金受益人为数人的，应当确定受益顺序和受益份额；未确定受益份额的，各受益人按照相等份额享有受益权。</w:t>
      </w:r>
    </w:p>
    <w:p w14:paraId="188F27CE">
      <w:pPr>
        <w:pStyle w:val="5"/>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被保险人死亡后，有下列情形之一的，猝死保险金作为被保险人的遗产，由保险人依照中华人民共和国关于继承的法律法规履行给付保险金的义务：</w:t>
      </w:r>
    </w:p>
    <w:p w14:paraId="0528FFDA">
      <w:pPr>
        <w:pStyle w:val="5"/>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1.没有指定受益人，或者受益人指定不明无法确定的；</w:t>
      </w:r>
    </w:p>
    <w:p w14:paraId="4D8FF49B">
      <w:pPr>
        <w:pStyle w:val="5"/>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2.受益人先于被保险人死亡，没有其他受益人的；</w:t>
      </w:r>
    </w:p>
    <w:p w14:paraId="10E9F818">
      <w:pPr>
        <w:pStyle w:val="5"/>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3.受益人依法丧失受益权或者放弃受益权，没有其他受益人的。</w:t>
      </w:r>
    </w:p>
    <w:p w14:paraId="542FE07D">
      <w:pPr>
        <w:pStyle w:val="5"/>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受益人与被保险人在同一事件中死亡，且不能确定死亡先后顺序的，推定受益人死亡在先。</w:t>
      </w:r>
    </w:p>
    <w:p w14:paraId="3F347076">
      <w:pPr>
        <w:pStyle w:val="5"/>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被保险人或者投保人可以变更猝死保险金受益人，但需书面通知保险人，由保险人在本合同上批注或者附贴批单。</w:t>
      </w:r>
      <w:r>
        <w:rPr>
          <w:rFonts w:hint="eastAsia" w:ascii="宋体" w:hAnsi="宋体" w:eastAsia="宋体" w:cs="宋体"/>
          <w:b/>
          <w:kern w:val="2"/>
          <w:sz w:val="21"/>
          <w:szCs w:val="21"/>
        </w:rPr>
        <w:t>对因猝死保险金受益人变更发生的法律纠纷，除归咎于保险人过错的外，保险人不承担任何责任。</w:t>
      </w:r>
    </w:p>
    <w:p w14:paraId="4ED2DA45">
      <w:pPr>
        <w:pStyle w:val="5"/>
        <w:keepNext w:val="0"/>
        <w:keepLines w:val="0"/>
        <w:pageBreakBefore w:val="0"/>
        <w:kinsoku/>
        <w:wordWrap/>
        <w:overflowPunct/>
        <w:topLinePunct w:val="0"/>
        <w:autoSpaceDN/>
        <w:bidi w:val="0"/>
        <w:adjustRightInd w:val="0"/>
        <w:snapToGrid w:val="0"/>
        <w:spacing w:line="276" w:lineRule="auto"/>
        <w:ind w:left="424" w:leftChars="202" w:right="603" w:rightChars="287"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rPr>
        <w:t>投保人指定或者变更猝死保险金受益人的，应当经被保险人书面同意。被保险人为无民事行为能力人或者限制民事行为能力人的，应当由其监护人指定或者变更猝死保险金受益人。</w:t>
      </w:r>
    </w:p>
    <w:p w14:paraId="2D0492C2">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4EB9C5EB">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保险责任</w:t>
      </w:r>
    </w:p>
    <w:p w14:paraId="1678E9F9">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第四条</w:t>
      </w:r>
      <w:r>
        <w:rPr>
          <w:rFonts w:hint="eastAsia" w:ascii="宋体" w:hAnsi="宋体" w:eastAsia="宋体" w:cs="宋体"/>
          <w:szCs w:val="21"/>
        </w:rPr>
        <w:t xml:space="preserve"> 在保险期间内，被保险人因非意外伤害事故而猝死的，保险人按照本附加险合同载明的保险金额给付猝死保险金，同时本附加险合同约定的对被保险人的保险责任终止。</w:t>
      </w:r>
    </w:p>
    <w:p w14:paraId="015C7A8B">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33643481">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责任免除</w:t>
      </w:r>
    </w:p>
    <w:p w14:paraId="6F11BF34">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第五条 由于下列任何原因，导致被保险人猝死的，保险人不承担给付保险金的责任：</w:t>
      </w:r>
    </w:p>
    <w:p w14:paraId="6BE3B884">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 xml:space="preserve">（一）投保人对被保险人的故意杀害、故意伤害； </w:t>
      </w:r>
    </w:p>
    <w:p w14:paraId="4914702B">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（二）被保险人自我伤害或者自杀，但被保险人为无民事行为能力人的除外；</w:t>
      </w:r>
    </w:p>
    <w:p w14:paraId="2FF1C325">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（三</w:t>
      </w:r>
      <w:r>
        <w:rPr>
          <w:rFonts w:hint="eastAsia" w:ascii="宋体" w:hAnsi="宋体" w:eastAsia="宋体" w:cs="宋体"/>
          <w:b/>
          <w:bCs/>
          <w:szCs w:val="21"/>
        </w:rPr>
        <w:t>）</w:t>
      </w:r>
      <w:r>
        <w:rPr>
          <w:rFonts w:hint="eastAsia" w:ascii="宋体" w:hAnsi="宋体" w:eastAsia="宋体" w:cs="宋体"/>
          <w:b/>
          <w:szCs w:val="21"/>
        </w:rPr>
        <w:t>投保前已存在的疾病及其并发症;</w:t>
      </w:r>
    </w:p>
    <w:p w14:paraId="6606A4DE">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（四）</w:t>
      </w:r>
      <w:r>
        <w:rPr>
          <w:rStyle w:val="15"/>
          <w:rFonts w:hint="eastAsia" w:ascii="宋体" w:hAnsi="宋体" w:eastAsia="宋体" w:cs="宋体"/>
          <w:b/>
          <w:szCs w:val="21"/>
        </w:rPr>
        <w:t>怀孕（含宫外孕）、流产、分娩（含剖腹产）、避孕、绝育手术、治疗不孕症、人工受孕以及由此导致的并发症</w:t>
      </w:r>
      <w:r>
        <w:rPr>
          <w:rFonts w:hint="eastAsia" w:ascii="宋体" w:hAnsi="宋体" w:eastAsia="宋体" w:cs="宋体"/>
          <w:b/>
          <w:bCs/>
          <w:szCs w:val="21"/>
        </w:rPr>
        <w:t>；</w:t>
      </w:r>
    </w:p>
    <w:p w14:paraId="2DB4B730">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（五）接受</w:t>
      </w:r>
      <w:r>
        <w:rPr>
          <w:rFonts w:hint="eastAsia" w:ascii="宋体" w:hAnsi="宋体" w:eastAsia="宋体" w:cs="宋体"/>
          <w:b/>
          <w:bCs/>
          <w:szCs w:val="21"/>
        </w:rPr>
        <w:t>医疗检查、麻醉、</w:t>
      </w:r>
      <w:r>
        <w:rPr>
          <w:rFonts w:hint="eastAsia" w:ascii="宋体" w:hAnsi="宋体" w:eastAsia="宋体" w:cs="宋体"/>
          <w:b/>
          <w:szCs w:val="21"/>
        </w:rPr>
        <w:t>整容、整形手术及其他内、外科手术；</w:t>
      </w:r>
    </w:p>
    <w:p w14:paraId="5BCF3A45">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（六）未遵医嘱而私自服用、涂用、注射药物；</w:t>
      </w:r>
    </w:p>
    <w:p w14:paraId="734BCCBE">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（七）</w:t>
      </w:r>
      <w:r>
        <w:rPr>
          <w:rFonts w:hint="eastAsia" w:ascii="宋体" w:hAnsi="宋体" w:eastAsia="宋体" w:cs="宋体"/>
          <w:b/>
          <w:szCs w:val="21"/>
        </w:rPr>
        <w:t>任何生物武器、化学武器、核武器，核能装置造成的爆炸、灼伤、污染或者辐射，恐怖活动。</w:t>
      </w:r>
    </w:p>
    <w:p w14:paraId="49E9A903">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第六条 被保险人在下列任何期间猝死的，保险人不承担给付保险金的责任：</w:t>
      </w:r>
    </w:p>
    <w:p w14:paraId="0381A445">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（一）醉酒或者受酒精、毒品或者管制药品的影响期间；</w:t>
      </w:r>
    </w:p>
    <w:p w14:paraId="0466649F">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（二）精神和行为障碍(以世界卫生组织颁布的《疾病和有关健康问题的国际统计分类(ICD-11)》为准)或者癫痫发作期间，</w:t>
      </w:r>
      <w:r>
        <w:rPr>
          <w:rFonts w:hint="eastAsia" w:ascii="宋体" w:hAnsi="宋体" w:eastAsia="宋体" w:cs="宋体"/>
          <w:b/>
          <w:szCs w:val="21"/>
        </w:rPr>
        <w:t>感染艾滋病病毒或者患艾滋病期间</w:t>
      </w:r>
      <w:r>
        <w:rPr>
          <w:rFonts w:hint="eastAsia" w:ascii="宋体" w:hAnsi="宋体" w:eastAsia="宋体" w:cs="宋体"/>
          <w:b/>
          <w:bCs/>
          <w:szCs w:val="21"/>
        </w:rPr>
        <w:t>；</w:t>
      </w:r>
    </w:p>
    <w:p w14:paraId="1CCA4B0B">
      <w:pPr>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（三）战争、军事行动、暴动或者武装叛乱期间。</w:t>
      </w:r>
    </w:p>
    <w:p w14:paraId="7C25EAAA">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37405948">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保险金额和保险费</w:t>
      </w:r>
    </w:p>
    <w:p w14:paraId="5E8E86A6">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 xml:space="preserve">第七条 </w:t>
      </w:r>
      <w:r>
        <w:rPr>
          <w:rFonts w:hint="eastAsia" w:ascii="宋体" w:hAnsi="宋体" w:eastAsia="宋体" w:cs="宋体"/>
          <w:szCs w:val="21"/>
        </w:rPr>
        <w:t>保险金额由投保人和保险人约定，并在本附加险合同中载明。</w:t>
      </w:r>
    </w:p>
    <w:p w14:paraId="2CC97522">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第八条</w:t>
      </w:r>
      <w:r>
        <w:rPr>
          <w:rFonts w:hint="eastAsia" w:ascii="宋体" w:hAnsi="宋体" w:eastAsia="宋体" w:cs="宋体"/>
          <w:szCs w:val="21"/>
        </w:rPr>
        <w:t xml:space="preserve"> 保险费由保险人在承保时计算确定。</w:t>
      </w:r>
    </w:p>
    <w:p w14:paraId="116D5FCF">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7C9EAE18">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bCs/>
          <w:szCs w:val="21"/>
        </w:rPr>
        <w:t>保险期间</w:t>
      </w:r>
    </w:p>
    <w:p w14:paraId="0FEF8A03">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 xml:space="preserve">第九条 </w:t>
      </w:r>
      <w:r>
        <w:rPr>
          <w:rFonts w:hint="eastAsia" w:ascii="宋体" w:hAnsi="宋体" w:eastAsia="宋体" w:cs="宋体"/>
          <w:szCs w:val="21"/>
        </w:rPr>
        <w:t>保险期间同主险合同。</w:t>
      </w:r>
    </w:p>
    <w:p w14:paraId="4F297B27">
      <w:pPr>
        <w:keepNext w:val="0"/>
        <w:keepLines w:val="0"/>
        <w:pageBreakBefore w:val="0"/>
        <w:kinsoku/>
        <w:wordWrap/>
        <w:overflowPunct/>
        <w:topLinePunct w:val="0"/>
        <w:autoSpaceDN/>
        <w:bidi w:val="0"/>
        <w:snapToGrid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49AE4CE3">
      <w:pPr>
        <w:keepNext w:val="0"/>
        <w:keepLines w:val="0"/>
        <w:pageBreakBefore w:val="0"/>
        <w:kinsoku/>
        <w:wordWrap/>
        <w:overflowPunct/>
        <w:topLinePunct w:val="0"/>
        <w:autoSpaceDN/>
        <w:bidi w:val="0"/>
        <w:snapToGrid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保险金的申请与给付</w:t>
      </w:r>
    </w:p>
    <w:p w14:paraId="413AED4E">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szCs w:val="21"/>
        </w:rPr>
        <w:t xml:space="preserve">第十条 </w:t>
      </w:r>
      <w:r>
        <w:rPr>
          <w:rFonts w:hint="eastAsia" w:ascii="宋体" w:hAnsi="宋体" w:eastAsia="宋体" w:cs="宋体"/>
          <w:szCs w:val="21"/>
        </w:rPr>
        <w:t>保险金申请人向保险人请求给付保险金时，应当提交下列证明和资料。</w:t>
      </w:r>
    </w:p>
    <w:p w14:paraId="78D3FCB4">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（一）保险金给付申请书；</w:t>
      </w:r>
    </w:p>
    <w:p w14:paraId="389620DC">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（二）保险单或者其他保险凭证、批单；</w:t>
      </w:r>
    </w:p>
    <w:p w14:paraId="730C38E6">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（三）保险金申请人的身份证明，若保险金申请人系受托申请，还须提供授权委托书和授权委托人的身份证明；</w:t>
      </w:r>
    </w:p>
    <w:p w14:paraId="520A6E6A">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（四）公安机关出具的户籍注销证明；</w:t>
      </w:r>
    </w:p>
    <w:p w14:paraId="4729FF26">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五）公安机关、国家卫生行政部门认定的医疗机构或者司法鉴定机构出具的被保险人猝死证明；若被保险人在中华人民共和国境外（含香港、澳门、台湾地区）出险，需要提供我国驻外使领馆或保险事故发生地政府机构出具的包含死亡原因的死亡证明；</w:t>
      </w:r>
    </w:p>
    <w:p w14:paraId="027E24C1">
      <w:pPr>
        <w:keepNext w:val="0"/>
        <w:keepLines w:val="0"/>
        <w:pageBreakBefore w:val="0"/>
        <w:kinsoku/>
        <w:wordWrap/>
        <w:overflowPunct/>
        <w:topLinePunct w:val="0"/>
        <w:autoSpaceDN/>
        <w:bidi w:val="0"/>
        <w:snapToGrid w:val="0"/>
        <w:spacing w:line="276" w:lineRule="auto"/>
        <w:ind w:left="424" w:leftChars="202" w:right="603" w:rightChars="287" w:firstLine="420" w:firstLineChars="200"/>
        <w:textAlignment w:val="auto"/>
        <w:rPr>
          <w:rFonts w:hint="eastAsia" w:ascii="宋体" w:hAnsi="宋体" w:eastAsia="宋体" w:cs="宋体"/>
          <w:szCs w:val="21"/>
        </w:rPr>
      </w:pPr>
      <w:r>
        <w:rPr>
          <w:rFonts w:hint="eastAsia" w:ascii="宋体" w:hAnsi="宋体" w:eastAsia="宋体" w:cs="宋体"/>
          <w:szCs w:val="21"/>
        </w:rPr>
        <w:t>（六）投保人</w:t>
      </w:r>
      <w:r>
        <w:rPr>
          <w:rFonts w:hint="eastAsia" w:ascii="宋体" w:hAnsi="宋体" w:eastAsia="宋体" w:cs="宋体"/>
          <w:bCs/>
          <w:szCs w:val="21"/>
        </w:rPr>
        <w:t>、受益人</w:t>
      </w:r>
      <w:r>
        <w:rPr>
          <w:rFonts w:hint="eastAsia" w:ascii="宋体" w:hAnsi="宋体" w:eastAsia="宋体" w:cs="宋体"/>
          <w:szCs w:val="21"/>
        </w:rPr>
        <w:t>所能提供的与确认保险事故的性质、原因、损失程度等有关的其他证明和资料。</w:t>
      </w:r>
    </w:p>
    <w:p w14:paraId="3B71AB9A">
      <w:pPr>
        <w:keepNext w:val="0"/>
        <w:keepLines w:val="0"/>
        <w:pageBreakBefore w:val="0"/>
        <w:kinsoku/>
        <w:wordWrap/>
        <w:overflowPunct/>
        <w:topLinePunct w:val="0"/>
        <w:autoSpaceDN/>
        <w:bidi w:val="0"/>
        <w:snapToGrid w:val="0"/>
        <w:spacing w:line="276" w:lineRule="auto"/>
        <w:ind w:left="424" w:leftChars="202" w:right="603" w:rightChars="287" w:firstLine="422" w:firstLineChars="200"/>
        <w:textAlignment w:val="auto"/>
        <w:rPr>
          <w:rFonts w:hint="eastAsia" w:ascii="宋体" w:hAnsi="宋体" w:eastAsia="宋体" w:cs="宋体"/>
          <w:szCs w:val="21"/>
        </w:rPr>
      </w:pPr>
      <w:r>
        <w:rPr>
          <w:rFonts w:hint="eastAsia" w:ascii="宋体" w:hAnsi="宋体" w:eastAsia="宋体" w:cs="宋体"/>
          <w:b/>
          <w:bCs/>
          <w:szCs w:val="21"/>
        </w:rPr>
        <w:t>保险金申请人未能提供有关证明和资料，导致保险人无法核实事故的性质、原因、损失程度的，保险人对无法核实部分不承担给付保险金的责任。</w:t>
      </w:r>
    </w:p>
    <w:p w14:paraId="73826C67">
      <w:pPr>
        <w:keepNext w:val="0"/>
        <w:keepLines w:val="0"/>
        <w:pageBreakBefore w:val="0"/>
        <w:kinsoku/>
        <w:wordWrap/>
        <w:overflowPunct/>
        <w:topLinePunct w:val="0"/>
        <w:autoSpaceDN/>
        <w:bidi w:val="0"/>
        <w:spacing w:line="276" w:lineRule="auto"/>
        <w:ind w:left="424" w:leftChars="202" w:right="603" w:rightChars="287" w:firstLine="420" w:firstLineChars="200"/>
        <w:jc w:val="center"/>
        <w:textAlignment w:val="auto"/>
        <w:rPr>
          <w:rFonts w:hint="eastAsia" w:ascii="宋体" w:hAnsi="宋体" w:eastAsia="宋体" w:cs="宋体"/>
          <w:szCs w:val="21"/>
        </w:rPr>
      </w:pPr>
      <w:r>
        <w:rPr>
          <w:rFonts w:hint="eastAsia" w:ascii="宋体" w:hAnsi="宋体" w:eastAsia="宋体" w:cs="宋体"/>
          <w:szCs w:val="21"/>
        </w:rPr>
        <w:t> </w:t>
      </w:r>
    </w:p>
    <w:p w14:paraId="43C8AF3E">
      <w:pPr>
        <w:keepNext w:val="0"/>
        <w:keepLines w:val="0"/>
        <w:pageBreakBefore w:val="0"/>
        <w:kinsoku/>
        <w:wordWrap/>
        <w:overflowPunct/>
        <w:topLinePunct w:val="0"/>
        <w:autoSpaceDN/>
        <w:bidi w:val="0"/>
        <w:spacing w:line="276" w:lineRule="auto"/>
        <w:ind w:left="424" w:leftChars="202" w:right="603" w:rightChars="287" w:firstLine="422" w:firstLineChars="200"/>
        <w:jc w:val="center"/>
        <w:textAlignment w:val="auto"/>
        <w:rPr>
          <w:rFonts w:hint="eastAsia" w:ascii="宋体" w:hAnsi="宋体" w:eastAsia="宋体" w:cs="宋体"/>
          <w:szCs w:val="21"/>
        </w:rPr>
      </w:pPr>
      <w:r>
        <w:rPr>
          <w:rFonts w:hint="eastAsia" w:ascii="宋体" w:hAnsi="宋体" w:eastAsia="宋体" w:cs="宋体"/>
          <w:b/>
          <w:szCs w:val="21"/>
        </w:rPr>
        <w:t>释义</w:t>
      </w:r>
    </w:p>
    <w:p w14:paraId="2E869DAC">
      <w:pPr>
        <w:pStyle w:val="9"/>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 w:val="21"/>
          <w:szCs w:val="21"/>
        </w:rPr>
      </w:pPr>
      <w:r>
        <w:rPr>
          <w:rFonts w:hint="eastAsia" w:ascii="宋体" w:hAnsi="宋体" w:eastAsia="宋体" w:cs="宋体"/>
          <w:b/>
          <w:kern w:val="2"/>
          <w:sz w:val="21"/>
          <w:szCs w:val="21"/>
        </w:rPr>
        <w:t>猝死：</w:t>
      </w:r>
      <w:r>
        <w:rPr>
          <w:rFonts w:hint="eastAsia" w:ascii="宋体" w:hAnsi="宋体" w:eastAsia="宋体" w:cs="宋体"/>
          <w:kern w:val="2"/>
          <w:sz w:val="21"/>
          <w:szCs w:val="21"/>
        </w:rPr>
        <w:t>指表面健康的人因潜在疾病、机能障碍或其他原因在出现症状后较短时间内发生的非暴力性突然死亡。猝死的认定以医疗机构的诊断、公安机关或司法鉴定机构的鉴定为准。</w:t>
      </w:r>
    </w:p>
    <w:p w14:paraId="324B186A">
      <w:pPr>
        <w:pStyle w:val="9"/>
        <w:keepNext w:val="0"/>
        <w:keepLines w:val="0"/>
        <w:pageBreakBefore w:val="0"/>
        <w:kinsoku/>
        <w:wordWrap/>
        <w:overflowPunct/>
        <w:topLinePunct w:val="0"/>
        <w:autoSpaceDN/>
        <w:bidi w:val="0"/>
        <w:adjustRightInd w:val="0"/>
        <w:snapToGrid w:val="0"/>
        <w:spacing w:line="276" w:lineRule="auto"/>
        <w:ind w:left="424" w:leftChars="202" w:right="603" w:rightChars="287" w:firstLine="422" w:firstLineChars="200"/>
        <w:textAlignment w:val="auto"/>
        <w:rPr>
          <w:rFonts w:hint="eastAsia" w:ascii="宋体" w:hAnsi="宋体" w:eastAsia="宋体" w:cs="宋体"/>
          <w:sz w:val="21"/>
          <w:szCs w:val="21"/>
        </w:rPr>
      </w:pPr>
      <w:r>
        <w:rPr>
          <w:rFonts w:hint="eastAsia" w:ascii="宋体" w:hAnsi="宋体" w:eastAsia="宋体" w:cs="宋体"/>
          <w:b/>
          <w:kern w:val="2"/>
          <w:sz w:val="21"/>
          <w:szCs w:val="21"/>
        </w:rPr>
        <w:t>意外伤害：</w:t>
      </w:r>
      <w:r>
        <w:rPr>
          <w:rFonts w:hint="eastAsia" w:ascii="宋体" w:hAnsi="宋体" w:eastAsia="宋体" w:cs="宋体"/>
          <w:bCs/>
          <w:kern w:val="2"/>
          <w:sz w:val="21"/>
          <w:szCs w:val="21"/>
        </w:rPr>
        <w:t>指外来的、突发的、非本意的、非疾病的使身体受到伤害的客观事件。</w:t>
      </w:r>
    </w:p>
    <w:p w14:paraId="6454C57A">
      <w:pPr>
        <w:rPr>
          <w:rFonts w:hint="eastAsia" w:ascii="宋体" w:hAnsi="宋体" w:eastAsia="宋体" w:cs="宋体"/>
        </w:rPr>
      </w:pPr>
      <w:r>
        <w:rPr>
          <w:rFonts w:hint="eastAsia" w:ascii="宋体" w:hAnsi="宋体" w:eastAsia="宋体" w:cs="宋体"/>
          <w:b/>
          <w:spacing w:val="5"/>
          <w:szCs w:val="21"/>
        </w:rPr>
        <w:t>医疗机构：</w:t>
      </w:r>
      <w:r>
        <w:rPr>
          <w:rFonts w:hint="eastAsia" w:ascii="宋体" w:hAnsi="宋体" w:eastAsia="宋体" w:cs="宋体"/>
          <w:spacing w:val="5"/>
          <w:szCs w:val="21"/>
        </w:rPr>
        <w:t>指拥有合法经营执照，设立的主要目的为向受伤者和患病者提供住院治疗和护理服务，具有符合所在地有关医院管理规则设置标准的医疗设施，有合格的医生和护士提供全日二十四小时的医疗和护理服务的机构，</w:t>
      </w:r>
      <w:r>
        <w:rPr>
          <w:rFonts w:hint="eastAsia" w:ascii="宋体" w:hAnsi="宋体" w:eastAsia="宋体" w:cs="宋体"/>
          <w:b/>
          <w:bCs/>
          <w:spacing w:val="5"/>
          <w:szCs w:val="21"/>
        </w:rPr>
        <w:t>但不包括康复医院、诊所、养老院以及主要为护理、疗养、戒酒、戒毒或类似目的提供服务的医疗机构。</w:t>
      </w:r>
    </w:p>
    <w:p w14:paraId="31F8E008">
      <w:pPr>
        <w:pStyle w:val="3"/>
        <w:rPr>
          <w:rFonts w:hint="eastAsia" w:ascii="宋体" w:hAnsi="宋体" w:eastAsia="宋体" w:cs="宋体"/>
          <w:lang w:val="en-US" w:eastAsia="zh-Hans"/>
        </w:rPr>
      </w:pPr>
    </w:p>
    <w:p w14:paraId="0E5C995A"/>
    <w:sectPr>
      <w:footerReference r:id="rId4" w:type="default"/>
      <w:pgSz w:w="11906" w:h="16838"/>
      <w:pgMar w:top="2098" w:right="1474" w:bottom="1984" w:left="1587" w:header="851" w:footer="992" w:gutter="0"/>
      <w:pgNumType w:fmt="decimal" w:star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09A3">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-79375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C864FD">
                          <w:pPr>
                            <w:pStyle w:val="7"/>
                            <w:rPr>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25pt;height:144pt;width:144pt;mso-position-horizontal:outside;mso-position-horizontal-relative:margin;mso-wrap-style:none;z-index:251660288;mso-width-relative:page;mso-height-relative:page;" filled="f" stroked="f" coordsize="21600,21600" o:gfxdata="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JWCMPLZAAAADAEAAA8AAAAAAAAAAQAgAAAAIgAAAGRycy9kb3ducmV2Lnht&#10;bFBLAQIUABQAAAAIAIdO4kBfyKa93AIAACQGAAAOAAAAAAAAAAEAIAAAACgBAABkcnMvZTJvRG9j&#10;LnhtbFBLBQYAAAAABgAGAFkBAAB2BgAAAAA=&#10;">
              <v:fill on="f" focussize="0,0"/>
              <v:stroke on="f" weight="0.5pt"/>
              <v:imagedata o:title=""/>
              <o:lock v:ext="edit" aspectratio="f"/>
              <v:textbox inset="0mm,0mm,0mm,0mm" style="mso-fit-shape-to-text:t;">
                <w:txbxContent>
                  <w:p w14:paraId="39C864FD">
                    <w:pPr>
                      <w:pStyle w:val="7"/>
                      <w:rPr>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EA6A19">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8EA6A19">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56AC5">
    <w:pPr>
      <w:pStyle w:val="7"/>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-79375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DE3D2">
                          <w:pPr>
                            <w:pStyle w:val="7"/>
                            <w:rPr>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25pt;height:144pt;width:144pt;mso-position-horizontal:outside;mso-position-horizontal-relative:margin;mso-wrap-style:none;z-index:251662336;mso-width-relative:page;mso-height-relative:page;" filled="f" stroked="f" coordsize="21600,21600" o:gfxdata="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u53Wv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220DE3D2">
                    <w:pPr>
                      <w:pStyle w:val="7"/>
                      <w:rPr>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A561A">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5A561A">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4110B"/>
    <w:multiLevelType w:val="singleLevel"/>
    <w:tmpl w:val="B3E411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9447F"/>
    <w:rsid w:val="7839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Plain Text"/>
    <w:basedOn w:val="1"/>
    <w:next w:val="3"/>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semiHidden/>
    <w:qFormat/>
    <w:uiPriority w:val="0"/>
    <w:pPr>
      <w:widowControl/>
      <w:ind w:firstLine="425"/>
      <w:jc w:val="left"/>
    </w:pPr>
    <w:rPr>
      <w:rFonts w:ascii="楷体_GB2312" w:eastAsia="楷体_GB2312"/>
      <w:kern w:val="0"/>
      <w:sz w:val="32"/>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List Paragraph1"/>
    <w:basedOn w:val="1"/>
    <w:autoRedefine/>
    <w:qFormat/>
    <w:uiPriority w:val="1"/>
    <w:pPr>
      <w:ind w:firstLine="420" w:firstLineChars="200"/>
    </w:pPr>
  </w:style>
  <w:style w:type="paragraph" w:customStyle="1" w:styleId="14">
    <w:name w:val="List Paragraph"/>
    <w:basedOn w:val="1"/>
    <w:qFormat/>
    <w:uiPriority w:val="34"/>
    <w:pPr>
      <w:ind w:firstLine="420" w:firstLineChars="200"/>
    </w:pPr>
    <w:rPr>
      <w:rFonts w:ascii="Calibri" w:hAnsi="Calibri" w:eastAsia="宋体" w:cs="Times New Roman"/>
      <w:b/>
      <w:szCs w:val="22"/>
    </w:rPr>
  </w:style>
  <w:style w:type="character" w:customStyle="1" w:styleId="15">
    <w:name w:val="1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2026-01-19T06:53:00Z</dcterms:created>
  <dc:creator>WPS_1756952891</dc:creator>
  <cp:lastModifiedBy>WPS_1756952891</cp:lastModifiedBy>
  <dcterms:modified xsi:type="dcterms:W3CDTF">2026-01-19T06:56:04Z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96268A5EE8C44EC2802C4835BF25C9B8_11</vt:lpwstr>
  </property>
  <property fmtid="{D5CDD505-2E9C-101B-9397-08002B2CF9AE}" pid="4" name="KSOTemplateDocerSaveRecord">
    <vt:lpwstr>eyJoZGlkIjoiZWE3ZjBjMTQ1OTFhYWMyZWIwNzI2ZmRiYzg1YWM3MzkiLCJ1c2VySWQiOiIxNzM3NTg4NjA5In0=</vt:lpwstr>
  </property>
</Properties>
</file>