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1CC44">
      <w:pPr>
        <w:pStyle w:val="2"/>
        <w:widowControl w:val="0"/>
        <w:spacing w:before="0" w:after="0" w:line="560" w:lineRule="exact"/>
        <w:rPr>
          <w:rFonts w:ascii="宋体" w:hAnsi="宋体" w:cs="宋体"/>
        </w:rPr>
      </w:pPr>
      <w:bookmarkStart w:id="0" w:name="_GoBack"/>
      <w:bookmarkEnd w:id="0"/>
      <w:r>
        <w:rPr>
          <w:rFonts w:hint="eastAsia" w:ascii="方正小标宋简体" w:hAnsi="方正小标宋简体" w:eastAsia="方正小标宋简体" w:cs="方正小标宋简体"/>
          <w:b w:val="0"/>
          <w:color w:val="auto"/>
          <w:kern w:val="2"/>
          <w:sz w:val="44"/>
          <w:szCs w:val="44"/>
          <w:lang w:val="en-US" w:eastAsia="zh-CN"/>
        </w:rPr>
        <w:t>铭可达工业园项目法律尽职调查服务</w:t>
      </w:r>
      <w:r>
        <w:rPr>
          <w:rFonts w:hint="eastAsia" w:ascii="方正小标宋简体" w:hAnsi="方正小标宋简体" w:eastAsia="方正小标宋简体" w:cs="方正小标宋简体"/>
          <w:b w:val="0"/>
          <w:color w:val="auto"/>
          <w:kern w:val="2"/>
          <w:sz w:val="44"/>
          <w:szCs w:val="44"/>
        </w:rPr>
        <w:t>合同</w:t>
      </w:r>
    </w:p>
    <w:p w14:paraId="3F6BE71C">
      <w:pPr>
        <w:widowControl w:val="0"/>
        <w:adjustRightInd w:val="0"/>
        <w:snapToGrid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14:paraId="3180BC93">
      <w:pPr>
        <w:widowControl w:val="0"/>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：深圳市龙华建设发展集团有限公司 </w:t>
      </w:r>
    </w:p>
    <w:p w14:paraId="3BAFE55C">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统一社会信用代码：9144030032637087X6</w:t>
      </w:r>
    </w:p>
    <w:p w14:paraId="33F455D6">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法定代表人：方东明</w:t>
      </w:r>
    </w:p>
    <w:p w14:paraId="2FCCAD14">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地址：深圳市龙华区观湖街道鹭湖社区观盛三路10号龙馨家园A栋2201 </w:t>
      </w:r>
    </w:p>
    <w:p w14:paraId="7920770B">
      <w:pPr>
        <w:widowControl w:val="0"/>
        <w:adjustRightInd w:val="0"/>
        <w:snapToGrid w:val="0"/>
        <w:spacing w:line="560" w:lineRule="exact"/>
        <w:ind w:firstLine="640" w:firstLineChars="200"/>
        <w:rPr>
          <w:rFonts w:ascii="仿宋_GB2312" w:hAnsi="仿宋_GB2312" w:eastAsia="仿宋_GB2312" w:cs="仿宋_GB2312"/>
          <w:sz w:val="32"/>
          <w:szCs w:val="32"/>
        </w:rPr>
      </w:pPr>
    </w:p>
    <w:p w14:paraId="678CAABF">
      <w:pPr>
        <w:widowControl w:val="0"/>
        <w:adjustRightInd w:val="0"/>
        <w:snapToGrid w:val="0"/>
        <w:spacing w:line="560" w:lineRule="exact"/>
        <w:ind w:firstLine="640" w:firstLineChars="200"/>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乙方（受托方）</w:t>
      </w:r>
      <w:r>
        <w:rPr>
          <w:rFonts w:hint="eastAsia" w:ascii="仿宋_GB2312" w:hAnsi="仿宋_GB2312" w:eastAsia="仿宋_GB2312" w:cs="仿宋_GB2312"/>
          <w:sz w:val="32"/>
          <w:szCs w:val="32"/>
          <w:shd w:val="clear" w:color="auto" w:fill="FFFFFF"/>
        </w:rPr>
        <w:t>：</w:t>
      </w:r>
    </w:p>
    <w:p w14:paraId="7B872037">
      <w:pPr>
        <w:widowControl w:val="0"/>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4D06D233">
      <w:pPr>
        <w:widowControl w:val="0"/>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14:paraId="2F8075F1">
      <w:pPr>
        <w:widowControl w:val="0"/>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14:paraId="27DA507A">
      <w:pPr>
        <w:widowControl w:val="0"/>
        <w:adjustRightInd w:val="0"/>
        <w:snapToGrid w:val="0"/>
        <w:spacing w:line="560" w:lineRule="exact"/>
        <w:ind w:firstLine="480" w:firstLineChars="200"/>
      </w:pPr>
    </w:p>
    <w:p w14:paraId="6D0EF5BA">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就甲方委托乙方对</w:t>
      </w:r>
      <w:r>
        <w:rPr>
          <w:rFonts w:hint="eastAsia" w:ascii="仿宋_GB2312" w:hAnsi="仿宋_GB2312" w:eastAsia="仿宋_GB2312" w:cs="仿宋_GB2312"/>
          <w:color w:val="000000"/>
          <w:sz w:val="32"/>
          <w:szCs w:val="32"/>
          <w:lang w:val="en-US" w:eastAsia="zh-CN"/>
        </w:rPr>
        <w:t>铭可达工业园项目</w:t>
      </w:r>
      <w:r>
        <w:rPr>
          <w:rFonts w:hint="eastAsia" w:ascii="仿宋_GB2312" w:hAnsi="仿宋_GB2312" w:eastAsia="仿宋_GB2312" w:cs="仿宋_GB2312"/>
          <w:color w:val="000000"/>
          <w:sz w:val="32"/>
          <w:szCs w:val="32"/>
        </w:rPr>
        <w:t>进行尽职调查事宜订立本合同，以资共同遵守。</w:t>
      </w:r>
    </w:p>
    <w:p w14:paraId="4D7D1D92">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第一条 尽职调查内容</w:t>
      </w:r>
    </w:p>
    <w:p w14:paraId="6B51AE9F">
      <w:pPr>
        <w:pStyle w:val="10"/>
        <w:widowControl w:val="0"/>
        <w:wordWrap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1.甲方委托乙方对</w:t>
      </w:r>
      <w:r>
        <w:rPr>
          <w:rFonts w:hint="eastAsia" w:ascii="仿宋_GB2312" w:hAnsi="仿宋_GB2312" w:eastAsia="仿宋_GB2312" w:cs="仿宋_GB2312"/>
          <w:color w:val="000000"/>
          <w:sz w:val="32"/>
          <w:szCs w:val="32"/>
          <w:lang w:val="en-US" w:eastAsia="zh-CN"/>
        </w:rPr>
        <w:t>铭可达工业园项目</w:t>
      </w:r>
      <w:r>
        <w:rPr>
          <w:rFonts w:hint="eastAsia" w:ascii="仿宋_GB2312" w:hAnsi="仿宋_GB2312" w:eastAsia="仿宋_GB2312" w:cs="仿宋_GB2312"/>
          <w:color w:val="000000"/>
          <w:sz w:val="32"/>
          <w:szCs w:val="32"/>
          <w:lang w:eastAsia="zh-CN"/>
        </w:rPr>
        <w:t>法拍资产</w:t>
      </w:r>
      <w:r>
        <w:rPr>
          <w:rFonts w:hint="eastAsia" w:ascii="仿宋_GB2312" w:hAnsi="仿宋_GB2312" w:eastAsia="仿宋_GB2312" w:cs="仿宋_GB2312"/>
          <w:color w:val="000000"/>
          <w:sz w:val="32"/>
          <w:szCs w:val="32"/>
        </w:rPr>
        <w:t>状况进行尽职调查。</w:t>
      </w:r>
    </w:p>
    <w:p w14:paraId="26078E9F">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2.乙方尽职调查工作的内容及成果要求</w:t>
      </w:r>
      <w:r>
        <w:rPr>
          <w:rFonts w:hint="eastAsia" w:ascii="仿宋_GB2312" w:hAnsi="仿宋_GB2312" w:eastAsia="仿宋_GB2312" w:cs="仿宋_GB2312"/>
          <w:sz w:val="32"/>
          <w:szCs w:val="32"/>
        </w:rPr>
        <w:t>包括但不限于：</w:t>
      </w:r>
    </w:p>
    <w:p w14:paraId="50C918E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2.1项目背景及司法程序摸排</w:t>
      </w:r>
    </w:p>
    <w:p w14:paraId="11332CD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2.1.1法拍信息来源核实：确认淘宝网拍卖公告的真实性、有效性，核查执行法院、案号、进入法拍程序的原因。</w:t>
      </w:r>
    </w:p>
    <w:p w14:paraId="09B1752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2.1.2优先购买权人调查：摸排是否存在其他抵押权人等法定优先购买权人，其是否已在拍卖程序中主张权利；摸排法拍程序潜在的竞争对手情况,是否存在其它潜在债权人。</w:t>
      </w:r>
    </w:p>
    <w:p w14:paraId="282017C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2.2项目权属及债务风险核查</w:t>
      </w:r>
    </w:p>
    <w:p w14:paraId="60BE2C1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2.2.1主要资产状况：重点核查土地权属、取得方式、土地使用证、规划条件；地上建筑物的权属。</w:t>
      </w:r>
    </w:p>
    <w:p w14:paraId="37139B3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2.2.2权利负担真实性审查：是否存在其它权利人主张的租赁权、建设工程价款优先受偿权等权利负担。</w:t>
      </w:r>
    </w:p>
    <w:p w14:paraId="6F5EEB6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2.2.3程序核查：关注项目过户流程、手续周期、是否存在过户障碍。</w:t>
      </w:r>
    </w:p>
    <w:p w14:paraId="7767481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2.2.4合规性审查：核查项目立项、规划、环评、建设施工等报批报建程序的合法合规性。</w:t>
      </w:r>
    </w:p>
    <w:p w14:paraId="6523A9C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2.3规划及建设风险排查</w:t>
      </w:r>
    </w:p>
    <w:p w14:paraId="2D5A069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2.3.1规划指标核实：核实土地面积、使用年限、土地用途、容积率、建筑密度等关键指标，并确认上述指标是否仍在有效期内。</w:t>
      </w:r>
    </w:p>
    <w:p w14:paraId="60595FD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2.3.2地块现状与开发情况：确认地块是否存在地上建筑物、构筑物及附着物；核查地上建筑物是否已出租和是否可拆除。</w:t>
      </w:r>
    </w:p>
    <w:p w14:paraId="2F1E1134">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2.3.3现场踏勘地块是否存在被第三方占用、使用、围堵，后期进场是否可能受到阻挠等情形。</w:t>
      </w:r>
    </w:p>
    <w:p w14:paraId="4D3224F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2.4税费及其它成本排查</w:t>
      </w:r>
    </w:p>
    <w:p w14:paraId="56A6B84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2.4.1税费承担主体：核查标的资产相关税款的缴纳情况,向执行法院及税务部门确认拍卖成交后税负承担规则。</w:t>
      </w:r>
    </w:p>
    <w:p w14:paraId="32219CD8">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2.4.2欠缴费用核查：调查资产是否存在拖欠土地出让金或需补缴土地出让金、闲置费、违约金、市政配套费、行政处罚罚款等情况。</w:t>
      </w:r>
    </w:p>
    <w:p w14:paraId="4B6E4CC1">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2.4.3土地增值税清算状态：若地块上已有开发建设，需了解是否已完成土地增值税清算，未清算的需预估后续清算方式及税负。</w:t>
      </w:r>
    </w:p>
    <w:p w14:paraId="035C551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2.4.4员工安置情况：关注交易相对方员工的处理方案，特别是在交易相对方出售资产后将进入清算程序和停产的情况下。</w:t>
      </w:r>
    </w:p>
    <w:p w14:paraId="443F50C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2.5服务成果要求</w:t>
      </w:r>
    </w:p>
    <w:p w14:paraId="6D1373F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2.5.1《法律尽职调查报告》：提供一式陆份纸质盖章版及电子版（PDF+WORD格式）。报告需内容详实、逻辑清晰、依据充分，全面反映调查情况、风险识别及法律分析。</w:t>
      </w:r>
    </w:p>
    <w:p w14:paraId="4F4300D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2.5.2《法律意见书》/风险提示函：就重点疑难问题或我方在调查过程中提出的特定事项，出具专项法律意见。</w:t>
      </w:r>
    </w:p>
    <w:p w14:paraId="6C5931A3">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第二条 服务期限</w:t>
      </w:r>
    </w:p>
    <w:p w14:paraId="2F1DC164">
      <w:pPr>
        <w:pStyle w:val="10"/>
        <w:widowControl w:val="0"/>
        <w:wordWrap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1.甲方委托乙方开展尽职调查的期限</w:t>
      </w:r>
      <w:r>
        <w:rPr>
          <w:rFonts w:hint="eastAsia" w:ascii="仿宋_GB2312" w:hAnsi="仿宋_GB2312" w:eastAsia="仿宋_GB2312" w:cs="仿宋_GB2312"/>
          <w:color w:val="000000"/>
          <w:sz w:val="32"/>
          <w:szCs w:val="32"/>
          <w:lang w:eastAsia="zh-CN"/>
        </w:rPr>
        <w:t>预计为</w:t>
      </w:r>
      <w:r>
        <w:rPr>
          <w:rFonts w:hint="eastAsia" w:ascii="仿宋_GB2312" w:hAnsi="仿宋_GB2312" w:eastAsia="仿宋_GB2312" w:cs="仿宋_GB2312"/>
          <w:color w:val="000000"/>
          <w:sz w:val="32"/>
          <w:szCs w:val="32"/>
        </w:rPr>
        <w:t>自</w:t>
      </w:r>
      <w:r>
        <w:rPr>
          <w:rFonts w:hint="eastAsia" w:ascii="仿宋_GB2312" w:hAnsi="仿宋_GB2312" w:eastAsia="仿宋_GB2312" w:cs="仿宋_GB2312"/>
          <w:color w:val="000000"/>
          <w:sz w:val="32"/>
          <w:szCs w:val="32"/>
          <w:lang w:eastAsia="zh-CN"/>
        </w:rPr>
        <w:t>接受委托之日</w:t>
      </w:r>
      <w:r>
        <w:rPr>
          <w:rFonts w:hint="eastAsia" w:ascii="仿宋_GB2312" w:hAnsi="仿宋_GB2312" w:eastAsia="仿宋_GB2312" w:cs="仿宋_GB2312"/>
          <w:color w:val="000000"/>
          <w:sz w:val="32"/>
          <w:szCs w:val="32"/>
        </w:rPr>
        <w:t>起</w:t>
      </w:r>
      <w:r>
        <w:rPr>
          <w:rFonts w:hint="eastAsia" w:ascii="仿宋_GB2312" w:hAnsi="仿宋_GB2312" w:eastAsia="仿宋_GB2312" w:cs="仿宋_GB2312"/>
          <w:color w:val="000000"/>
          <w:sz w:val="32"/>
          <w:szCs w:val="32"/>
          <w:lang w:val="en-US" w:eastAsia="zh-CN"/>
        </w:rPr>
        <w:t>30个工作日</w:t>
      </w:r>
      <w:r>
        <w:rPr>
          <w:rFonts w:hint="eastAsia" w:ascii="仿宋_GB2312" w:hAnsi="仿宋_GB2312" w:eastAsia="仿宋_GB2312" w:cs="仿宋_GB2312"/>
          <w:color w:val="000000"/>
          <w:sz w:val="32"/>
          <w:szCs w:val="32"/>
        </w:rPr>
        <w:t>。</w:t>
      </w:r>
    </w:p>
    <w:p w14:paraId="5758E41E">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2.委托期限到期前，乙方应完成尽职调查工作，向甲方出具尽职调查报告</w:t>
      </w:r>
      <w:r>
        <w:rPr>
          <w:rFonts w:hint="eastAsia" w:ascii="仿宋_GB2312" w:hAnsi="仿宋_GB2312" w:eastAsia="仿宋_GB2312" w:cs="仿宋_GB2312"/>
          <w:color w:val="000000"/>
          <w:sz w:val="32"/>
          <w:szCs w:val="32"/>
          <w:lang w:val="en-US" w:eastAsia="zh-CN"/>
        </w:rPr>
        <w:t>及要求的</w:t>
      </w:r>
      <w:r>
        <w:rPr>
          <w:rFonts w:hint="eastAsia" w:ascii="仿宋_GB2312" w:hAnsi="仿宋_GB2312" w:eastAsia="仿宋_GB2312" w:cs="仿宋_GB2312"/>
          <w:sz w:val="32"/>
          <w:szCs w:val="32"/>
          <w:lang w:val="en-US" w:eastAsia="zh-CN"/>
        </w:rPr>
        <w:t>《法律意见书》或风险提示函</w:t>
      </w:r>
      <w:r>
        <w:rPr>
          <w:rFonts w:hint="eastAsia" w:ascii="仿宋_GB2312" w:hAnsi="仿宋_GB2312" w:eastAsia="仿宋_GB2312" w:cs="仿宋_GB2312"/>
          <w:color w:val="000000"/>
          <w:sz w:val="32"/>
          <w:szCs w:val="32"/>
        </w:rPr>
        <w:t>。</w:t>
      </w:r>
    </w:p>
    <w:p w14:paraId="3599CE45">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第三条 尽职调查费及支付方式</w:t>
      </w:r>
    </w:p>
    <w:p w14:paraId="6F273B97">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1.乙方进行本次尽职调查所应收取的尽职调查费为人民币（含税）￥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（大写：</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12193B15">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2.因开展尽职调查而发生的全部费用，如乙方派驻员工所发生的食宿费、交通费、出差补助费、打印费、复印费等费用，均由乙方自行承担。</w:t>
      </w:r>
    </w:p>
    <w:p w14:paraId="6C8239CD">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3.费用支付</w:t>
      </w:r>
    </w:p>
    <w:p w14:paraId="0AE4E3E1">
      <w:pPr>
        <w:pStyle w:val="10"/>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乙方出具《法律尽职调查报告》及要求的《法律意见书》等文件，经甲方验收合格后，一次性支付合同价款。</w:t>
      </w:r>
    </w:p>
    <w:p w14:paraId="02A0B3CA">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4.乙方指定账户信息</w:t>
      </w:r>
    </w:p>
    <w:p w14:paraId="0BB2168D">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p>
    <w:p w14:paraId="5C80C2C0">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p>
    <w:p w14:paraId="62800C35">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rPr>
        <w:t xml:space="preserve">     </w:t>
      </w:r>
    </w:p>
    <w:p w14:paraId="21F3F99F">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第四条 尽职调查工作程序和工作要求</w:t>
      </w:r>
    </w:p>
    <w:p w14:paraId="24CE05F7">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1.本合同签署后，乙方制定尽职调查的工作方案并</w:t>
      </w:r>
      <w:r>
        <w:rPr>
          <w:rFonts w:hint="eastAsia" w:ascii="仿宋_GB2312" w:hAnsi="仿宋_GB2312" w:eastAsia="仿宋_GB2312" w:cs="仿宋_GB2312"/>
          <w:color w:val="000000"/>
          <w:spacing w:val="-4"/>
          <w:sz w:val="32"/>
          <w:szCs w:val="32"/>
          <w:lang w:eastAsia="zh-CN"/>
        </w:rPr>
        <w:t>根据甲方授权</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sz w:val="32"/>
          <w:szCs w:val="32"/>
          <w:lang w:val="en-US" w:eastAsia="zh-CN"/>
        </w:rPr>
        <w:t>接洽、走访</w:t>
      </w:r>
      <w:r>
        <w:rPr>
          <w:rFonts w:hint="eastAsia" w:ascii="仿宋_GB2312" w:hAnsi="仿宋_GB2312" w:eastAsia="仿宋_GB2312" w:cs="仿宋_GB2312"/>
          <w:color w:val="000000"/>
          <w:sz w:val="32"/>
          <w:szCs w:val="32"/>
          <w:lang w:val="en-US" w:eastAsia="zh-CN"/>
        </w:rPr>
        <w:t>铭可达工业园项目</w:t>
      </w:r>
      <w:r>
        <w:rPr>
          <w:rFonts w:hint="eastAsia" w:ascii="仿宋_GB2312" w:hAnsi="仿宋_GB2312" w:eastAsia="仿宋_GB2312" w:cs="仿宋_GB2312"/>
          <w:color w:val="000000"/>
          <w:sz w:val="32"/>
          <w:szCs w:val="32"/>
          <w:lang w:eastAsia="zh-CN"/>
        </w:rPr>
        <w:t>法拍资产</w:t>
      </w:r>
      <w:r>
        <w:rPr>
          <w:rFonts w:hint="eastAsia" w:ascii="仿宋_GB2312" w:hAnsi="仿宋_GB2312" w:eastAsia="仿宋_GB2312" w:cs="仿宋_GB2312"/>
          <w:color w:val="000000"/>
          <w:spacing w:val="-4"/>
          <w:sz w:val="32"/>
          <w:szCs w:val="32"/>
          <w:lang w:val="en-US" w:eastAsia="zh-CN"/>
        </w:rPr>
        <w:t>有关的单位，调查、收集</w:t>
      </w:r>
      <w:r>
        <w:rPr>
          <w:rFonts w:hint="eastAsia" w:ascii="仿宋_GB2312" w:hAnsi="仿宋_GB2312" w:eastAsia="仿宋_GB2312" w:cs="仿宋_GB2312"/>
          <w:color w:val="000000"/>
          <w:sz w:val="32"/>
          <w:szCs w:val="32"/>
          <w:lang w:val="en-US" w:eastAsia="zh-CN"/>
        </w:rPr>
        <w:t>铭可达工业园项目</w:t>
      </w:r>
      <w:r>
        <w:rPr>
          <w:rFonts w:hint="eastAsia" w:ascii="仿宋_GB2312" w:hAnsi="仿宋_GB2312" w:eastAsia="仿宋_GB2312" w:cs="仿宋_GB2312"/>
          <w:color w:val="000000"/>
          <w:sz w:val="32"/>
          <w:szCs w:val="32"/>
          <w:lang w:eastAsia="zh-CN"/>
        </w:rPr>
        <w:t>法拍资产</w:t>
      </w:r>
      <w:r>
        <w:rPr>
          <w:rFonts w:hint="eastAsia" w:ascii="仿宋_GB2312" w:hAnsi="仿宋_GB2312" w:eastAsia="仿宋_GB2312" w:cs="仿宋_GB2312"/>
          <w:color w:val="000000"/>
          <w:spacing w:val="-4"/>
          <w:sz w:val="32"/>
          <w:szCs w:val="32"/>
          <w:lang w:val="en-US" w:eastAsia="zh-CN"/>
        </w:rPr>
        <w:t>有关的资料，完成本合同第一条所述尽职调查内容并提交工作成果</w:t>
      </w:r>
      <w:r>
        <w:rPr>
          <w:rFonts w:hint="eastAsia" w:ascii="仿宋_GB2312" w:hAnsi="仿宋_GB2312" w:eastAsia="仿宋_GB2312" w:cs="仿宋_GB2312"/>
          <w:color w:val="000000"/>
          <w:spacing w:val="-4"/>
          <w:sz w:val="32"/>
          <w:szCs w:val="32"/>
        </w:rPr>
        <w:t>。</w:t>
      </w:r>
    </w:p>
    <w:p w14:paraId="133F7665">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2.乙方将采取现场调查和书面文件审查相结合的方式完成委托事项</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rPr>
        <w:t>甲方为乙方的工作提供必要的协助。</w:t>
      </w:r>
    </w:p>
    <w:p w14:paraId="581A81F4">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3.甲方有权调整尽职调查工作方案和服务需求。</w:t>
      </w:r>
    </w:p>
    <w:p w14:paraId="1065E769">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4.乙方认为需要调整尽职调查工作方案的，应当提前通知甲方</w:t>
      </w:r>
      <w:r>
        <w:rPr>
          <w:rFonts w:hint="eastAsia" w:ascii="仿宋_GB2312" w:hAnsi="仿宋_GB2312" w:eastAsia="仿宋_GB2312" w:cs="仿宋_GB2312"/>
          <w:color w:val="000000"/>
          <w:spacing w:val="-4"/>
          <w:sz w:val="32"/>
          <w:szCs w:val="32"/>
          <w:lang w:eastAsia="zh-CN"/>
        </w:rPr>
        <w:t>，</w:t>
      </w:r>
      <w:r>
        <w:rPr>
          <w:rFonts w:hint="eastAsia" w:ascii="仿宋_GB2312" w:hAnsi="仿宋_GB2312" w:eastAsia="仿宋_GB2312" w:cs="仿宋_GB2312"/>
          <w:color w:val="000000"/>
          <w:spacing w:val="-4"/>
          <w:sz w:val="32"/>
          <w:szCs w:val="32"/>
        </w:rPr>
        <w:t>经甲方书面同意后乙方可以调整工作方案。</w:t>
      </w:r>
    </w:p>
    <w:p w14:paraId="5AA01904">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5.乙方提供的书面尽职调查报告应符合以下要求：</w:t>
      </w:r>
    </w:p>
    <w:p w14:paraId="13A0A014">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5.1</w:t>
      </w:r>
      <w:r>
        <w:rPr>
          <w:rFonts w:hint="eastAsia" w:ascii="仿宋_GB2312" w:hAnsi="仿宋_GB2312" w:eastAsia="仿宋_GB2312" w:cs="仿宋_GB2312"/>
          <w:color w:val="000000"/>
          <w:sz w:val="32"/>
          <w:szCs w:val="32"/>
        </w:rPr>
        <w:t>报告需内容详实、逻辑清晰、依据充分，全面反映调查情况、风险识别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法律分析</w:t>
      </w:r>
      <w:r>
        <w:rPr>
          <w:rFonts w:hint="eastAsia" w:ascii="仿宋_GB2312" w:hAnsi="仿宋_GB2312" w:eastAsia="仿宋_GB2312" w:cs="仿宋_GB2312"/>
          <w:color w:val="000000"/>
          <w:sz w:val="32"/>
          <w:szCs w:val="32"/>
          <w:lang w:eastAsia="zh-CN"/>
        </w:rPr>
        <w:t>及应对措施</w:t>
      </w:r>
      <w:r>
        <w:rPr>
          <w:rFonts w:hint="eastAsia" w:ascii="仿宋_GB2312" w:hAnsi="仿宋_GB2312" w:eastAsia="仿宋_GB2312" w:cs="仿宋_GB2312"/>
          <w:color w:val="000000"/>
          <w:spacing w:val="-4"/>
          <w:sz w:val="32"/>
          <w:szCs w:val="32"/>
        </w:rPr>
        <w:t>。</w:t>
      </w:r>
    </w:p>
    <w:p w14:paraId="4B8E3EC4">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5.2乙方在开展尽职调查过程中所获取的与尽职调查资产有关的一切材料应在尽职调查结束后随同尽职调查报告一并提交甲方，并保证尽职调查报告中所述内容与其所附材料相一致。</w:t>
      </w:r>
    </w:p>
    <w:p w14:paraId="5C517EE7">
      <w:pPr>
        <w:pStyle w:val="10"/>
        <w:widowControl w:val="0"/>
        <w:spacing w:before="0" w:beforeAutospacing="0" w:after="0" w:afterAutospacing="0" w:line="560" w:lineRule="exact"/>
        <w:ind w:firstLine="624" w:firstLineChars="200"/>
        <w:jc w:val="both"/>
        <w:rPr>
          <w:rFonts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5.3乙方遵守相关职业道德规范，恪守独立、客观、公正的原则，保持专业胜任能力和应有的关注，对尽职调查报告内容负责。</w:t>
      </w:r>
    </w:p>
    <w:p w14:paraId="2F40A84F">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第五条 成果交付</w:t>
      </w:r>
    </w:p>
    <w:p w14:paraId="7A3FEFDD">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1.乙方应向甲方出具尽职调查报告纸质盖章版一式陆份及电子版（PDF+WORD格式）。</w:t>
      </w:r>
    </w:p>
    <w:p w14:paraId="7A824BBD">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u w:val="thick"/>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乙方应</w:t>
      </w:r>
      <w:r>
        <w:rPr>
          <w:rFonts w:hint="eastAsia" w:ascii="仿宋_GB2312" w:hAnsi="仿宋_GB2312" w:eastAsia="仿宋_GB2312" w:cs="仿宋_GB2312"/>
          <w:color w:val="000000"/>
          <w:sz w:val="32"/>
          <w:szCs w:val="32"/>
        </w:rPr>
        <w:t>就重点疑难问题或在调查过程中</w:t>
      </w:r>
      <w:r>
        <w:rPr>
          <w:rFonts w:hint="eastAsia" w:ascii="仿宋_GB2312" w:hAnsi="仿宋_GB2312" w:eastAsia="仿宋_GB2312" w:cs="仿宋_GB2312"/>
          <w:color w:val="000000"/>
          <w:sz w:val="32"/>
          <w:szCs w:val="32"/>
          <w:lang w:eastAsia="zh-CN"/>
        </w:rPr>
        <w:t>甲方</w:t>
      </w:r>
      <w:r>
        <w:rPr>
          <w:rFonts w:hint="eastAsia" w:ascii="仿宋_GB2312" w:hAnsi="仿宋_GB2312" w:eastAsia="仿宋_GB2312" w:cs="仿宋_GB2312"/>
          <w:color w:val="000000"/>
          <w:sz w:val="32"/>
          <w:szCs w:val="32"/>
        </w:rPr>
        <w:t>提出的特定事项，出具专项法律意见</w:t>
      </w:r>
      <w:r>
        <w:rPr>
          <w:rFonts w:hint="eastAsia" w:ascii="仿宋_GB2312" w:hAnsi="仿宋_GB2312" w:eastAsia="仿宋_GB2312" w:cs="仿宋_GB2312"/>
          <w:color w:val="000000"/>
          <w:sz w:val="32"/>
          <w:szCs w:val="32"/>
          <w:lang w:eastAsia="zh-CN"/>
        </w:rPr>
        <w:t>书</w:t>
      </w:r>
      <w:r>
        <w:rPr>
          <w:rFonts w:hint="eastAsia" w:ascii="仿宋_GB2312" w:hAnsi="仿宋_GB2312" w:eastAsia="仿宋_GB2312" w:cs="仿宋_GB2312"/>
          <w:color w:val="000000"/>
          <w:sz w:val="32"/>
          <w:szCs w:val="32"/>
        </w:rPr>
        <w:t>。</w:t>
      </w:r>
    </w:p>
    <w:p w14:paraId="19921121">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第六条 承诺与保证</w:t>
      </w:r>
    </w:p>
    <w:p w14:paraId="60AA5A2A">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1.乙方应当充分应用专业知识，按照法律、法规规定，认真完成甲方</w:t>
      </w:r>
      <w:r>
        <w:rPr>
          <w:rFonts w:hint="eastAsia" w:ascii="仿宋_GB2312" w:hAnsi="仿宋_GB2312" w:eastAsia="仿宋_GB2312" w:cs="仿宋_GB2312"/>
          <w:color w:val="000000"/>
          <w:sz w:val="32"/>
          <w:szCs w:val="32"/>
          <w:lang w:eastAsia="zh-CN"/>
        </w:rPr>
        <w:t>委托的</w:t>
      </w:r>
      <w:r>
        <w:rPr>
          <w:rFonts w:hint="eastAsia" w:ascii="仿宋_GB2312" w:hAnsi="仿宋_GB2312" w:eastAsia="仿宋_GB2312" w:cs="仿宋_GB2312"/>
          <w:color w:val="000000"/>
          <w:sz w:val="32"/>
          <w:szCs w:val="32"/>
        </w:rPr>
        <w:t>尽职调查工作，依法维护甲方的合法权益。</w:t>
      </w:r>
    </w:p>
    <w:p w14:paraId="512FA22A">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2.乙方保证</w:t>
      </w:r>
      <w:r>
        <w:rPr>
          <w:rFonts w:hint="eastAsia" w:ascii="仿宋_GB2312" w:hAnsi="仿宋_GB2312" w:eastAsia="仿宋_GB2312" w:cs="仿宋_GB2312"/>
          <w:color w:val="000000"/>
          <w:sz w:val="32"/>
          <w:szCs w:val="32"/>
          <w:lang w:eastAsia="zh-CN"/>
        </w:rPr>
        <w:t>调派</w:t>
      </w:r>
      <w:r>
        <w:rPr>
          <w:rFonts w:hint="eastAsia" w:ascii="仿宋_GB2312" w:hAnsi="仿宋_GB2312" w:eastAsia="仿宋_GB2312" w:cs="仿宋_GB2312"/>
          <w:color w:val="000000"/>
          <w:sz w:val="32"/>
          <w:szCs w:val="32"/>
        </w:rPr>
        <w:t>具有专业资质的人员为甲方提供服务并按合同约定或甲方需求履行合同，如乙方的人员不具备专业资质或未按约定履行合同的，则甲方有权解除合同并要求乙方承担违约责任（包括但不限于支付违约金、赔偿损失）。</w:t>
      </w:r>
    </w:p>
    <w:p w14:paraId="253F0712">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第七条 违约责任</w:t>
      </w:r>
    </w:p>
    <w:p w14:paraId="70B97AD0">
      <w:pPr>
        <w:pStyle w:val="10"/>
        <w:widowControl w:val="0"/>
        <w:wordWrap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1.甲乙双方应全面实际履行本合同，任何一方不履行或不完全履行，应承担违约责任，向守约方支付相当于本合同约定酬金总额的</w:t>
      </w:r>
      <w:r>
        <w:rPr>
          <w:rFonts w:hint="eastAsia" w:ascii="仿宋_GB2312" w:hAnsi="仿宋_GB2312" w:eastAsia="仿宋_GB2312" w:cs="仿宋_GB2312"/>
          <w:color w:val="000000"/>
          <w:sz w:val="32"/>
          <w:szCs w:val="32"/>
          <w:u w:val="single"/>
          <w:lang w:val="en-US" w:eastAsia="zh-CN"/>
        </w:rPr>
        <w:t>20</w:t>
      </w:r>
      <w:r>
        <w:rPr>
          <w:rFonts w:hint="eastAsia" w:ascii="仿宋_GB2312" w:hAnsi="仿宋_GB2312" w:eastAsia="仿宋_GB2312" w:cs="仿宋_GB2312"/>
          <w:color w:val="000000"/>
          <w:sz w:val="32"/>
          <w:szCs w:val="32"/>
        </w:rPr>
        <w:t>%作为违约金，并应赔偿守约方的一切经济损失。</w:t>
      </w:r>
    </w:p>
    <w:p w14:paraId="1737CBDE">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本合同所指损失包括但不限于应向第三方支付的违约金和赔偿金、罚金、诉讼费、保全费、调查取证费、律师费、其他直接损失和间接损失等。</w:t>
      </w:r>
    </w:p>
    <w:p w14:paraId="4404F66C">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若发现根据乙方的职业道德及其他有关专业职责、适用的法律法规或其他任何法定的要求，认为已不适宜继续为甲方提供本约定书约定的尽职调查服务时，甲方有权单方面解除本合同，不予支付余款并要求返还已付款项，同时保留追究其他违约责任的权利。</w:t>
      </w:r>
    </w:p>
    <w:p w14:paraId="16680E05">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3.乙方应按时交付工作成果。若乙方未按约定执行，则视为违约。每迟延一日，乙方应向甲方支付逾期未付金额</w:t>
      </w:r>
      <w:r>
        <w:rPr>
          <w:rFonts w:hint="eastAsia" w:ascii="仿宋_GB2312" w:hAnsi="仿宋_GB2312" w:eastAsia="仿宋_GB2312" w:cs="仿宋_GB2312"/>
          <w:color w:val="000000"/>
          <w:sz w:val="32"/>
          <w:szCs w:val="32"/>
          <w:u w:val="single"/>
          <w:lang w:val="en-US" w:eastAsia="zh-CN"/>
        </w:rPr>
        <w:t>0.2</w:t>
      </w:r>
      <w:r>
        <w:rPr>
          <w:rFonts w:hint="eastAsia" w:ascii="仿宋_GB2312" w:hAnsi="仿宋_GB2312" w:eastAsia="仿宋_GB2312" w:cs="仿宋_GB2312"/>
          <w:color w:val="000000"/>
          <w:sz w:val="32"/>
          <w:szCs w:val="32"/>
        </w:rPr>
        <w:t>%的违约金。</w:t>
      </w:r>
    </w:p>
    <w:p w14:paraId="1AC16FFC">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4.因乙方工作失误、泄露商业秘密、其他违反本协议约定义务或甲方工作纪律要求等原因导致甲方合法权益遭受重大损失，乙方应承担相应赔偿责任。</w:t>
      </w:r>
    </w:p>
    <w:p w14:paraId="143D732E">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第八条 合同联系方式</w:t>
      </w:r>
    </w:p>
    <w:p w14:paraId="4D361164">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1.为更好的履行本合同，双方提供如下联系方式：</w:t>
      </w:r>
    </w:p>
    <w:p w14:paraId="42A4A4AD">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1.1甲方联系方式</w:t>
      </w:r>
    </w:p>
    <w:p w14:paraId="6D8ED70B">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邮寄地址：</w:t>
      </w:r>
      <w:r>
        <w:rPr>
          <w:rFonts w:hint="eastAsia" w:ascii="仿宋_GB2312" w:hAnsi="仿宋_GB2312" w:eastAsia="仿宋_GB2312" w:cs="仿宋_GB2312"/>
          <w:color w:val="000000"/>
          <w:sz w:val="32"/>
          <w:szCs w:val="32"/>
          <w:u w:val="single"/>
        </w:rPr>
        <w:t xml:space="preserve">                   </w:t>
      </w:r>
    </w:p>
    <w:p w14:paraId="36CE0AF6">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u w:val="single"/>
        </w:rPr>
        <w:t xml:space="preserve">                     </w:t>
      </w:r>
    </w:p>
    <w:p w14:paraId="2B4E82A7">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u w:val="single"/>
        </w:rPr>
        <w:t xml:space="preserve">                       </w:t>
      </w:r>
    </w:p>
    <w:p w14:paraId="28B7F5C0">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rPr>
        <w:t xml:space="preserve">                   </w:t>
      </w:r>
    </w:p>
    <w:p w14:paraId="048AC252">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1.2乙方联系方式</w:t>
      </w:r>
    </w:p>
    <w:p w14:paraId="0521D965">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邮寄地址：</w:t>
      </w:r>
      <w:r>
        <w:rPr>
          <w:rFonts w:hint="eastAsia" w:ascii="仿宋_GB2312" w:hAnsi="仿宋_GB2312" w:eastAsia="仿宋_GB2312" w:cs="仿宋_GB2312"/>
          <w:color w:val="000000"/>
          <w:sz w:val="32"/>
          <w:szCs w:val="32"/>
          <w:u w:val="single"/>
        </w:rPr>
        <w:t xml:space="preserve">                   </w:t>
      </w:r>
    </w:p>
    <w:p w14:paraId="75C1400E">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u w:val="single"/>
        </w:rPr>
        <w:t xml:space="preserve">                     </w:t>
      </w:r>
    </w:p>
    <w:p w14:paraId="137DF4D5">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u w:val="single"/>
        </w:rPr>
        <w:t xml:space="preserve">                       </w:t>
      </w:r>
    </w:p>
    <w:p w14:paraId="045313E3">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rPr>
        <w:t xml:space="preserve">                   </w:t>
      </w:r>
    </w:p>
    <w:p w14:paraId="62CAFBE2">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2.双方通过上述联系方式之任何一种（包括电子邮箱），就本合同有关事项向对方发送相关通知等，均视为有效送达与告知对方，无论对方是否实际查阅。</w:t>
      </w:r>
    </w:p>
    <w:p w14:paraId="76A792B4">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3.双方确认上述联系方式同时作为有效司法送达地址。</w:t>
      </w:r>
    </w:p>
    <w:p w14:paraId="79E4BB93">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4.一方变更联系方式，应自变更之日起三日内，以书面形式通知对方；否则应承担由此而引起的相关责任。</w:t>
      </w:r>
    </w:p>
    <w:p w14:paraId="06C28F40">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第九条 保密</w:t>
      </w:r>
    </w:p>
    <w:p w14:paraId="2E54805C">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合同各方保证对在讨论、签订、履行本协议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14:paraId="3458F84A">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2.双方承诺保守在履行本合同过程中得知的对方的商业秘密，该保密义务在本合同终止或解除（无论何种原因）之后仍需履行。</w:t>
      </w:r>
    </w:p>
    <w:p w14:paraId="442DEDE3">
      <w:pPr>
        <w:pStyle w:val="4"/>
        <w:widowControl w:val="0"/>
        <w:spacing w:before="0" w:after="0" w:line="560" w:lineRule="exact"/>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第十条 反商业贿赂</w:t>
      </w:r>
    </w:p>
    <w:p w14:paraId="4619755C">
      <w:pPr>
        <w:widowControl w:val="0"/>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20F60EDA">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第十一条 争议解决</w:t>
      </w:r>
    </w:p>
    <w:p w14:paraId="510ADCDF">
      <w:pPr>
        <w:pStyle w:val="10"/>
        <w:widowControl w:val="0"/>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14:paraId="5E8F4E43">
      <w:pPr>
        <w:pStyle w:val="4"/>
        <w:widowControl w:val="0"/>
        <w:spacing w:before="0" w:after="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第十二条 附则</w:t>
      </w:r>
    </w:p>
    <w:p w14:paraId="557BD2B7">
      <w:pPr>
        <w:spacing w:line="56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lang w:eastAsia="zh-CN"/>
        </w:rPr>
        <w:t>肆</w:t>
      </w:r>
      <w:r>
        <w:rPr>
          <w:rFonts w:hint="eastAsia" w:ascii="仿宋_GB2312" w:hAnsi="仿宋_GB2312" w:eastAsia="仿宋_GB2312" w:cs="仿宋_GB2312"/>
          <w:sz w:val="32"/>
          <w:szCs w:val="32"/>
        </w:rPr>
        <w:t>份，甲</w:t>
      </w:r>
      <w:r>
        <w:rPr>
          <w:rFonts w:hint="eastAsia" w:ascii="仿宋_GB2312" w:hAnsi="仿宋_GB2312" w:eastAsia="仿宋_GB2312" w:cs="仿宋_GB2312"/>
          <w:sz w:val="32"/>
          <w:szCs w:val="32"/>
          <w:lang w:eastAsia="zh-CN"/>
        </w:rPr>
        <w:t>乙双方各</w:t>
      </w:r>
      <w:r>
        <w:rPr>
          <w:rFonts w:hint="eastAsia" w:ascii="仿宋_GB2312" w:hAnsi="仿宋_GB2312" w:eastAsia="仿宋_GB2312" w:cs="仿宋_GB2312"/>
          <w:sz w:val="32"/>
          <w:szCs w:val="32"/>
        </w:rPr>
        <w:t>执</w:t>
      </w:r>
      <w:r>
        <w:rPr>
          <w:rFonts w:hint="eastAsia" w:ascii="仿宋_GB2312" w:hAnsi="仿宋_GB2312" w:eastAsia="仿宋_GB2312" w:cs="仿宋_GB2312"/>
          <w:sz w:val="32"/>
          <w:szCs w:val="32"/>
          <w:u w:val="single"/>
          <w:lang w:eastAsia="zh-CN"/>
        </w:rPr>
        <w:t>贰</w:t>
      </w:r>
      <w:r>
        <w:rPr>
          <w:rFonts w:hint="eastAsia" w:ascii="仿宋_GB2312" w:hAnsi="仿宋_GB2312" w:eastAsia="仿宋_GB2312" w:cs="仿宋_GB2312"/>
          <w:sz w:val="32"/>
          <w:szCs w:val="32"/>
        </w:rPr>
        <w:t>份，具有同等法律效力。</w:t>
      </w:r>
    </w:p>
    <w:p w14:paraId="6D313C13">
      <w:pPr>
        <w:spacing w:line="56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2.本合同自双方法定代表人或授权代表签</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rPr>
        <w:t>并加盖公章之日起生效。</w:t>
      </w:r>
    </w:p>
    <w:p w14:paraId="015D6948">
      <w:pPr>
        <w:spacing w:line="560" w:lineRule="atLeas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3.本合同未尽事宜双方可协商另行签订补充协议，补充协议与本合同具有同等法律效力。</w:t>
      </w:r>
    </w:p>
    <w:p w14:paraId="39802B98">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14:paraId="4886F7E9">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p w14:paraId="4B31E7C4">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p w14:paraId="2999FAA8">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p w14:paraId="23572A26">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p w14:paraId="4BDF305B">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p w14:paraId="3F0B86A6">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p w14:paraId="1C5E45FE">
      <w:pPr>
        <w:pStyle w:val="10"/>
        <w:widowControl w:val="0"/>
        <w:spacing w:before="0" w:beforeAutospacing="0" w:after="0" w:afterAutospacing="0" w:line="560" w:lineRule="exact"/>
        <w:ind w:firstLine="0" w:firstLineChars="0"/>
        <w:rPr>
          <w:rFonts w:ascii="仿宋_GB2312" w:hAnsi="仿宋_GB2312" w:eastAsia="仿宋_GB2312" w:cs="仿宋_GB2312"/>
          <w:color w:val="000000"/>
          <w:sz w:val="32"/>
          <w:szCs w:val="32"/>
        </w:rPr>
      </w:pPr>
    </w:p>
    <w:p w14:paraId="3D8BDC3B">
      <w:pPr>
        <w:pStyle w:val="10"/>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p>
    <w:tbl>
      <w:tblPr>
        <w:tblStyle w:val="12"/>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05FD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DF8B574">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14:paraId="38BAA258">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14:paraId="0F9B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5424C4E5">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3F9458C0">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14:paraId="60E309C3">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5BBF0DD5">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14:paraId="2441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4A7D882">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14:paraId="77E6DFA5">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14:paraId="5F94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C6E692A">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14:paraId="5FA5DFC7">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14:paraId="7AFD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82F07FD">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14:paraId="4F024A16">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7FF0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8FE5432">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14:paraId="3C864789">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r>
      <w:tr w14:paraId="3CE6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20E486C7">
            <w:pPr>
              <w:widowControl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78BC77A0">
      <w:pPr>
        <w:pStyle w:val="10"/>
        <w:widowControl w:val="0"/>
        <w:spacing w:before="0" w:beforeAutospacing="0" w:after="0" w:afterAutospacing="0" w:line="560" w:lineRule="exact"/>
        <w:rPr>
          <w:rFonts w:ascii="仿宋_GB2312" w:hAnsi="仿宋_GB2312" w:eastAsia="仿宋_GB2312" w:cs="仿宋_GB2312"/>
          <w:color w:val="000000"/>
          <w:sz w:val="32"/>
          <w:szCs w:val="32"/>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215D">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AA81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5AA81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trackRevisions w:val="1"/>
  <w:documentProtection w:enforcement="0"/>
  <w:defaultTabStop w:val="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e7bc8d39-61a4-46de-8a97-8af9d78d8495"/>
  </w:docVars>
  <w:rsids>
    <w:rsidRoot w:val="002D2403"/>
    <w:rsid w:val="002D2403"/>
    <w:rsid w:val="003C2298"/>
    <w:rsid w:val="00AD78E6"/>
    <w:rsid w:val="00D15E24"/>
    <w:rsid w:val="00D37733"/>
    <w:rsid w:val="00E24DD2"/>
    <w:rsid w:val="0D632037"/>
    <w:rsid w:val="18391BD9"/>
    <w:rsid w:val="18D6174B"/>
    <w:rsid w:val="1EEC1060"/>
    <w:rsid w:val="21E53171"/>
    <w:rsid w:val="2306068C"/>
    <w:rsid w:val="25A50660"/>
    <w:rsid w:val="29722BBD"/>
    <w:rsid w:val="2CB27A2B"/>
    <w:rsid w:val="2FB13061"/>
    <w:rsid w:val="35A35518"/>
    <w:rsid w:val="36C87DFB"/>
    <w:rsid w:val="37623B32"/>
    <w:rsid w:val="3C59637B"/>
    <w:rsid w:val="3E952D57"/>
    <w:rsid w:val="434111DE"/>
    <w:rsid w:val="53F52809"/>
    <w:rsid w:val="61EA16E7"/>
    <w:rsid w:val="66B8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style>
  <w:style w:type="paragraph" w:styleId="6">
    <w:name w:val="Body Text"/>
    <w:basedOn w:val="1"/>
    <w:next w:val="1"/>
    <w:qFormat/>
    <w:uiPriority w:val="0"/>
    <w:pPr>
      <w:spacing w:line="360" w:lineRule="auto"/>
    </w:pPr>
    <w:rPr>
      <w:rFonts w:ascii="Calibri" w:hAnsi="Calibri" w:eastAsia="宋体"/>
      <w:szCs w:val="22"/>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99"/>
    <w:pPr>
      <w:spacing w:before="100" w:beforeAutospacing="1" w:after="100" w:afterAutospacing="1"/>
    </w:pPr>
  </w:style>
  <w:style w:type="paragraph" w:styleId="11">
    <w:name w:val="annotation subject"/>
    <w:basedOn w:val="5"/>
    <w:next w:val="5"/>
    <w:link w:val="23"/>
    <w:qFormat/>
    <w:uiPriority w:val="0"/>
    <w:rPr>
      <w:b/>
      <w:bCs/>
    </w:rPr>
  </w:style>
  <w:style w:type="character" w:styleId="14">
    <w:name w:val="annotation reference"/>
    <w:basedOn w:val="13"/>
    <w:qFormat/>
    <w:uiPriority w:val="0"/>
    <w:rPr>
      <w:sz w:val="21"/>
      <w:szCs w:val="21"/>
    </w:rPr>
  </w:style>
  <w:style w:type="paragraph" w:customStyle="1" w:styleId="15">
    <w:name w:val="正文1"/>
    <w:basedOn w:val="7"/>
    <w:next w:val="16"/>
    <w:qFormat/>
    <w:uiPriority w:val="0"/>
    <w:rPr>
      <w:rFonts w:ascii="Calibri" w:hAnsi="Calibri"/>
      <w:szCs w:val="22"/>
    </w:rPr>
  </w:style>
  <w:style w:type="paragraph" w:customStyle="1" w:styleId="16">
    <w:name w:val="纯文本1"/>
    <w:basedOn w:val="1"/>
    <w:qFormat/>
    <w:uiPriority w:val="0"/>
    <w:rPr>
      <w:rFonts w:ascii="宋体" w:hAnsi="Courier New" w:cs="Courier New"/>
      <w:szCs w:val="21"/>
    </w:rPr>
  </w:style>
  <w:style w:type="table" w:customStyle="1" w:styleId="17">
    <w:name w:val="Table Normal"/>
    <w:qFormat/>
    <w:uiPriority w:val="59"/>
    <w:tblPr>
      <w:tblCellMar>
        <w:top w:w="0" w:type="dxa"/>
        <w:left w:w="108" w:type="dxa"/>
        <w:bottom w:w="0" w:type="dxa"/>
        <w:right w:w="108" w:type="dxa"/>
      </w:tblCellMar>
    </w:tblPr>
  </w:style>
  <w:style w:type="paragraph" w:customStyle="1" w:styleId="18">
    <w:name w:val="font-fangsong *"/>
    <w:basedOn w:val="1"/>
    <w:qFormat/>
    <w:uiPriority w:val="0"/>
    <w:pPr>
      <w:spacing w:before="100" w:beforeAutospacing="1" w:after="100" w:afterAutospacing="1"/>
    </w:pPr>
    <w:rPr>
      <w:rFonts w:ascii="Simfang" w:hAnsi="Simfang" w:cs="Simfang"/>
    </w:rPr>
  </w:style>
  <w:style w:type="paragraph" w:customStyle="1" w:styleId="19">
    <w:name w:val="font-song *"/>
    <w:basedOn w:val="1"/>
    <w:qFormat/>
    <w:uiPriority w:val="0"/>
    <w:pPr>
      <w:spacing w:before="100" w:beforeAutospacing="1" w:after="100" w:afterAutospacing="1"/>
    </w:pPr>
    <w:rPr>
      <w:rFonts w:ascii="宋体" w:hAnsi="宋体" w:cs="宋体"/>
    </w:rPr>
  </w:style>
  <w:style w:type="paragraph" w:customStyle="1" w:styleId="20">
    <w:name w:val="font-yahei *"/>
    <w:basedOn w:val="1"/>
    <w:qFormat/>
    <w:uiPriority w:val="0"/>
    <w:pPr>
      <w:spacing w:before="100" w:beforeAutospacing="1" w:after="100" w:afterAutospacing="1"/>
    </w:pPr>
    <w:rPr>
      <w:rFonts w:ascii="Msyh" w:hAnsi="Msyh" w:cs="Msyh"/>
    </w:rPr>
  </w:style>
  <w:style w:type="paragraph" w:customStyle="1" w:styleId="21">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2">
    <w:name w:val="批注文字 字符"/>
    <w:basedOn w:val="13"/>
    <w:link w:val="5"/>
    <w:qFormat/>
    <w:uiPriority w:val="0"/>
    <w:rPr>
      <w:sz w:val="24"/>
    </w:rPr>
  </w:style>
  <w:style w:type="character" w:customStyle="1" w:styleId="23">
    <w:name w:val="批注主题 字符"/>
    <w:basedOn w:val="22"/>
    <w:link w:val="11"/>
    <w:qFormat/>
    <w:uiPriority w:val="0"/>
    <w:rPr>
      <w:b/>
      <w:bCs/>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3518</Words>
  <Characters>3671</Characters>
  <Lines>26</Lines>
  <Paragraphs>7</Paragraphs>
  <TotalTime>3</TotalTime>
  <ScaleCrop>false</ScaleCrop>
  <LinksUpToDate>false</LinksUpToDate>
  <CharactersWithSpaces>4052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2024-07-06T03:35:00Z</dcterms:created>
  <dc:creator>法天使</dc:creator>
  <cp:lastModifiedBy>Peterson。</cp:lastModifiedBy>
  <cp:lastPrinted>2024-05-29T03:43:00Z</cp:lastPrinted>
  <dcterms:modified xsi:type="dcterms:W3CDTF">2026-02-27T02:59:44Z</dcterms:modified>
  <dc:title>财务尽职调查服务合同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D0F4A51891284C31AE01E663F5A41ED4</vt:lpwstr>
  </property>
  <property fmtid="{D5CDD505-2E9C-101B-9397-08002B2CF9AE}" pid="4" name="KSOTemplateDocerSaveRecord">
    <vt:lpwstr>eyJoZGlkIjoiOGRmNzE3NGQxMzBkYTVkZDcwNjllNjUxYzYxNmM1MzMiLCJ1c2VySWQiOiIyMTI1MzEyMTMifQ==</vt:lpwstr>
  </property>
</Properties>
</file>