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46C9C"/>
    <w:p w14:paraId="77010975"/>
    <w:p w14:paraId="5E7864C9">
      <w:pPr>
        <w:ind w:firstLine="0"/>
        <w:jc w:val="center"/>
        <w:rPr>
          <w:rFonts w:hint="eastAsia" w:ascii="小标宋" w:hAnsi="小标宋" w:eastAsia="小标宋" w:cs="小标宋"/>
          <w:b/>
          <w:color w:val="auto"/>
          <w:sz w:val="44"/>
          <w:szCs w:val="44"/>
          <w:lang w:val="en-US" w:eastAsia="zh-CN"/>
        </w:rPr>
      </w:pPr>
    </w:p>
    <w:p w14:paraId="27B03700">
      <w:pPr>
        <w:ind w:firstLine="0"/>
        <w:jc w:val="center"/>
        <w:rPr>
          <w:rFonts w:hint="eastAsia" w:ascii="小标宋" w:hAnsi="小标宋" w:eastAsia="小标宋" w:cs="小标宋"/>
          <w:b/>
          <w:color w:val="auto"/>
          <w:sz w:val="44"/>
          <w:szCs w:val="44"/>
          <w:lang w:val="en-US" w:eastAsia="zh-CN"/>
        </w:rPr>
      </w:pPr>
      <w:r>
        <w:rPr>
          <w:rFonts w:hint="eastAsia" w:ascii="小标宋" w:hAnsi="小标宋" w:eastAsia="小标宋" w:cs="小标宋"/>
          <w:b/>
          <w:color w:val="auto"/>
          <w:sz w:val="44"/>
          <w:szCs w:val="44"/>
          <w:lang w:val="en-US" w:eastAsia="zh-CN"/>
        </w:rPr>
        <w:t>潮华光储充项目棉西超充站</w:t>
      </w:r>
    </w:p>
    <w:p w14:paraId="63AD0870">
      <w:pPr>
        <w:ind w:firstLine="0"/>
        <w:jc w:val="center"/>
        <w:rPr>
          <w:rFonts w:hint="eastAsia" w:ascii="小标宋" w:hAnsi="小标宋" w:eastAsia="小标宋" w:cs="小标宋"/>
          <w:b/>
          <w:color w:val="auto"/>
          <w:sz w:val="44"/>
          <w:szCs w:val="44"/>
          <w:lang w:val="en-US" w:eastAsia="zh-CN"/>
        </w:rPr>
      </w:pPr>
      <w:r>
        <w:rPr>
          <w:rFonts w:hint="eastAsia" w:ascii="小标宋" w:hAnsi="小标宋" w:eastAsia="小标宋" w:cs="小标宋"/>
          <w:b/>
          <w:color w:val="auto"/>
          <w:sz w:val="44"/>
          <w:szCs w:val="44"/>
          <w:lang w:val="en-US" w:eastAsia="zh-CN"/>
        </w:rPr>
        <w:t>运营管理服务采购项目</w:t>
      </w:r>
    </w:p>
    <w:p w14:paraId="02BAC41B">
      <w:pPr>
        <w:ind w:firstLine="0"/>
        <w:jc w:val="center"/>
        <w:rPr>
          <w:rFonts w:ascii="黑体" w:hAnsi="黑体" w:eastAsia="黑体"/>
          <w:b/>
          <w:sz w:val="64"/>
        </w:rPr>
      </w:pPr>
      <w:r>
        <w:rPr>
          <w:rFonts w:hint="eastAsia" w:ascii="小标宋" w:hAnsi="小标宋" w:eastAsia="小标宋" w:cs="小标宋"/>
          <w:b/>
          <w:color w:val="auto"/>
          <w:sz w:val="44"/>
          <w:szCs w:val="44"/>
          <w:lang w:val="en-US" w:eastAsia="zh-CN"/>
        </w:rPr>
        <w:t>招标文件</w:t>
      </w:r>
    </w:p>
    <w:p w14:paraId="383228B2"/>
    <w:p w14:paraId="0390AA95"/>
    <w:p w14:paraId="336A2E1D"/>
    <w:p w14:paraId="6013E616"/>
    <w:p w14:paraId="20DE210F"/>
    <w:p w14:paraId="7E86E6CA"/>
    <w:p w14:paraId="7E523010"/>
    <w:p w14:paraId="3491B17E"/>
    <w:p w14:paraId="63B29B12">
      <w:pPr>
        <w:keepNext w:val="0"/>
        <w:keepLines w:val="0"/>
        <w:pageBreakBefore w:val="0"/>
        <w:widowControl/>
        <w:kinsoku/>
        <w:wordWrap/>
        <w:overflowPunct/>
        <w:topLinePunct w:val="0"/>
        <w:autoSpaceDE/>
        <w:autoSpaceDN/>
        <w:bidi w:val="0"/>
        <w:adjustRightInd/>
        <w:snapToGrid/>
        <w:jc w:val="both"/>
        <w:textAlignment w:val="auto"/>
      </w:pPr>
      <w:r>
        <w:rPr>
          <w:rFonts w:hint="eastAsia" w:ascii="仿宋" w:hAnsi="仿宋" w:eastAsia="仿宋" w:cs="仿宋"/>
          <w:b/>
          <w:sz w:val="32"/>
          <w:szCs w:val="32"/>
        </w:rPr>
        <w:t>项目名称：</w:t>
      </w:r>
      <w:r>
        <w:rPr>
          <w:rFonts w:hint="eastAsia" w:ascii="仿宋" w:hAnsi="仿宋" w:eastAsia="仿宋" w:cs="仿宋"/>
          <w:b w:val="0"/>
          <w:sz w:val="32"/>
          <w:szCs w:val="32"/>
        </w:rPr>
        <w:t>潮华光储充项目棉西超充站运营管理服务采购项目</w:t>
      </w:r>
    </w:p>
    <w:p w14:paraId="422ED18F">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sz w:val="32"/>
          <w:szCs w:val="32"/>
        </w:rPr>
      </w:pPr>
      <w:r>
        <w:rPr>
          <w:rFonts w:hint="eastAsia" w:ascii="仿宋" w:hAnsi="仿宋" w:eastAsia="仿宋" w:cs="仿宋"/>
          <w:b/>
          <w:sz w:val="32"/>
          <w:szCs w:val="32"/>
        </w:rPr>
        <w:t>招标人：</w:t>
      </w:r>
      <w:r>
        <w:rPr>
          <w:rFonts w:hint="eastAsia" w:ascii="仿宋" w:hAnsi="仿宋" w:eastAsia="仿宋" w:cs="仿宋"/>
          <w:b w:val="0"/>
          <w:sz w:val="32"/>
          <w:szCs w:val="32"/>
        </w:rPr>
        <w:t>汕头市潮华产业园区运营管理有限公司</w:t>
      </w:r>
    </w:p>
    <w:p w14:paraId="6A48647A"/>
    <w:p w14:paraId="19393C56"/>
    <w:p w14:paraId="1A8BE533"/>
    <w:p w14:paraId="0C144BEB"/>
    <w:p w14:paraId="4DF33BA2">
      <w:pPr>
        <w:jc w:val="center"/>
        <w:rPr>
          <w:rFonts w:hint="eastAsia" w:ascii="仿宋" w:hAnsi="仿宋" w:eastAsia="仿宋" w:cs="仿宋"/>
          <w:b w:val="0"/>
          <w:sz w:val="32"/>
          <w:szCs w:val="32"/>
        </w:rPr>
      </w:pPr>
      <w:r>
        <w:rPr>
          <w:rFonts w:hint="eastAsia" w:ascii="仿宋" w:hAnsi="仿宋" w:eastAsia="仿宋" w:cs="仿宋"/>
          <w:b w:val="0"/>
          <w:sz w:val="32"/>
          <w:szCs w:val="32"/>
        </w:rPr>
        <w:t>二○二</w:t>
      </w:r>
      <w:r>
        <w:rPr>
          <w:rFonts w:hint="eastAsia" w:ascii="仿宋" w:hAnsi="仿宋" w:eastAsia="仿宋" w:cs="仿宋"/>
          <w:b w:val="0"/>
          <w:sz w:val="32"/>
          <w:szCs w:val="32"/>
          <w:lang w:val="en-US" w:eastAsia="zh-CN"/>
        </w:rPr>
        <w:t>六</w:t>
      </w:r>
      <w:r>
        <w:rPr>
          <w:rFonts w:hint="eastAsia" w:ascii="仿宋" w:hAnsi="仿宋" w:eastAsia="仿宋" w:cs="仿宋"/>
          <w:b w:val="0"/>
          <w:sz w:val="32"/>
          <w:szCs w:val="32"/>
        </w:rPr>
        <w:t>年</w:t>
      </w:r>
      <w:r>
        <w:rPr>
          <w:rFonts w:hint="eastAsia" w:ascii="仿宋" w:hAnsi="仿宋" w:eastAsia="仿宋" w:cs="仿宋"/>
          <w:b w:val="0"/>
          <w:sz w:val="32"/>
          <w:szCs w:val="32"/>
          <w:lang w:val="en-US" w:eastAsia="zh-CN"/>
        </w:rPr>
        <w:t>三</w:t>
      </w:r>
      <w:r>
        <w:rPr>
          <w:rFonts w:hint="eastAsia" w:ascii="仿宋" w:hAnsi="仿宋" w:eastAsia="仿宋" w:cs="仿宋"/>
          <w:b w:val="0"/>
          <w:sz w:val="32"/>
          <w:szCs w:val="32"/>
        </w:rPr>
        <w:t>月</w:t>
      </w:r>
    </w:p>
    <w:p w14:paraId="051CACE9">
      <w:r>
        <w:br w:type="page"/>
      </w:r>
    </w:p>
    <w:p w14:paraId="1EDE8AE6">
      <w:pPr>
        <w:keepNext/>
        <w:keepLines/>
        <w:spacing w:line="360" w:lineRule="auto"/>
        <w:jc w:val="center"/>
        <w:outlineLvl w:val="0"/>
        <w:rPr>
          <w:rFonts w:hint="eastAsia" w:ascii="仿宋_GB2312" w:hAnsi="仿宋_GB2312" w:eastAsia="仿宋_GB2312" w:cs="仿宋_GB2312"/>
          <w:b/>
          <w:bCs/>
          <w:color w:val="000000"/>
          <w:kern w:val="44"/>
          <w:sz w:val="40"/>
          <w:szCs w:val="40"/>
          <w:lang w:val="en-US" w:eastAsia="zh-CN"/>
        </w:rPr>
      </w:pPr>
      <w:r>
        <w:rPr>
          <w:rFonts w:hint="eastAsia" w:ascii="仿宋_GB2312" w:hAnsi="仿宋_GB2312" w:eastAsia="仿宋_GB2312" w:cs="仿宋_GB2312"/>
          <w:b/>
          <w:bCs/>
          <w:color w:val="000000"/>
          <w:kern w:val="44"/>
          <w:sz w:val="40"/>
          <w:szCs w:val="40"/>
          <w:lang w:val="en-US" w:eastAsia="zh-CN"/>
        </w:rPr>
        <w:t>一、投标邀请函</w:t>
      </w:r>
    </w:p>
    <w:p w14:paraId="0281AA60">
      <w:pPr>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2665B96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一、现拟对潮华光储充项目棉西超充站运营管理服务采购项目进行公开遴选招标。</w:t>
      </w:r>
    </w:p>
    <w:p w14:paraId="3C181B7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二、若贵公司有意参加投标，可以从本招标单位获取更详细资料，并按招标文件的要求参加投标。</w:t>
      </w:r>
    </w:p>
    <w:p w14:paraId="6063B95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三、送交投标文件截止时间及地点：</w:t>
      </w:r>
    </w:p>
    <w:p w14:paraId="56EF6BC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时间：</w:t>
      </w:r>
      <w:r>
        <w:rPr>
          <w:rFonts w:hint="eastAsia" w:ascii="仿宋" w:hAnsi="仿宋" w:eastAsia="仿宋" w:cs="仿宋"/>
          <w:sz w:val="32"/>
          <w:szCs w:val="32"/>
          <w:highlight w:val="none"/>
        </w:rPr>
        <w:t>2026年4月</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日12:00（北京时间）</w:t>
      </w:r>
    </w:p>
    <w:p w14:paraId="41D12D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地点：汕头市潮阳区纺织印染环保综合处理中心管理中心3楼304室。</w:t>
      </w:r>
    </w:p>
    <w:p w14:paraId="1BCF76B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四、如对本次活动有任何投诉，请联系我司监督人：吴工 17302659304</w:t>
      </w:r>
      <w:r>
        <w:rPr>
          <w:rFonts w:hint="eastAsia" w:ascii="仿宋" w:hAnsi="仿宋" w:eastAsia="仿宋" w:cs="仿宋"/>
          <w:sz w:val="32"/>
          <w:szCs w:val="32"/>
          <w:lang w:eastAsia="zh-CN"/>
        </w:rPr>
        <w:t>。</w:t>
      </w:r>
    </w:p>
    <w:p w14:paraId="34DDFC6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五、取得本招标文件的正式投标人，如不递交投标文件，应于收到此邀请书48小时内书面通知招标人，并说明弃权原因。</w:t>
      </w:r>
    </w:p>
    <w:p w14:paraId="4B84863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六、投标文件组成：见招标文件"</w:t>
      </w:r>
      <w:r>
        <w:rPr>
          <w:rFonts w:hint="eastAsia" w:ascii="仿宋" w:hAnsi="仿宋" w:eastAsia="仿宋" w:cs="仿宋"/>
          <w:sz w:val="32"/>
          <w:szCs w:val="32"/>
          <w:lang w:val="en-US" w:eastAsia="zh-CN"/>
        </w:rPr>
        <w:t>五</w:t>
      </w:r>
      <w:r>
        <w:rPr>
          <w:rFonts w:hint="eastAsia" w:ascii="仿宋" w:hAnsi="仿宋" w:eastAsia="仿宋" w:cs="仿宋"/>
          <w:sz w:val="32"/>
          <w:szCs w:val="32"/>
        </w:rPr>
        <w:t>、投标文件组成"。</w:t>
      </w:r>
    </w:p>
    <w:p w14:paraId="4967108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七、联系人及联系方式：吴工 17302659304</w:t>
      </w:r>
    </w:p>
    <w:p w14:paraId="5962B72D">
      <w:pPr>
        <w:spacing w:line="360" w:lineRule="auto"/>
        <w:jc w:val="both"/>
        <w:rPr>
          <w:rFonts w:hint="eastAsia" w:ascii="仿宋" w:hAnsi="仿宋" w:eastAsia="仿宋" w:cs="仿宋"/>
          <w:b w:val="0"/>
          <w:sz w:val="32"/>
          <w:szCs w:val="32"/>
        </w:rPr>
      </w:pPr>
    </w:p>
    <w:p w14:paraId="2E5CE5DB">
      <w:pPr>
        <w:spacing w:line="360" w:lineRule="auto"/>
        <w:jc w:val="right"/>
        <w:rPr>
          <w:rFonts w:hint="eastAsia" w:ascii="仿宋" w:hAnsi="仿宋" w:eastAsia="仿宋" w:cs="仿宋"/>
          <w:sz w:val="32"/>
          <w:szCs w:val="32"/>
        </w:rPr>
      </w:pPr>
      <w:r>
        <w:rPr>
          <w:rFonts w:hint="eastAsia" w:ascii="仿宋" w:hAnsi="仿宋" w:eastAsia="仿宋" w:cs="仿宋"/>
          <w:b w:val="0"/>
          <w:sz w:val="32"/>
          <w:szCs w:val="32"/>
        </w:rPr>
        <w:t>汕头市潮华产业园区运营管理有限公司</w:t>
      </w:r>
    </w:p>
    <w:p w14:paraId="7085F086">
      <w:pPr>
        <w:spacing w:line="360" w:lineRule="auto"/>
        <w:jc w:val="center"/>
        <w:rPr>
          <w:rFonts w:hint="eastAsia" w:ascii="仿宋" w:hAnsi="仿宋" w:eastAsia="仿宋" w:cs="仿宋"/>
          <w:sz w:val="32"/>
          <w:szCs w:val="32"/>
        </w:rPr>
      </w:pPr>
      <w:r>
        <w:rPr>
          <w:rFonts w:hint="eastAsia" w:ascii="仿宋" w:hAnsi="仿宋" w:eastAsia="仿宋" w:cs="仿宋"/>
          <w:b w:val="0"/>
          <w:sz w:val="32"/>
          <w:szCs w:val="32"/>
          <w:lang w:val="en-US" w:eastAsia="zh-CN"/>
        </w:rPr>
        <w:t xml:space="preserve">                    </w:t>
      </w:r>
      <w:r>
        <w:rPr>
          <w:rFonts w:hint="eastAsia" w:ascii="仿宋" w:hAnsi="仿宋" w:eastAsia="仿宋" w:cs="仿宋"/>
          <w:b w:val="0"/>
          <w:sz w:val="32"/>
          <w:szCs w:val="32"/>
        </w:rPr>
        <w:t>202</w:t>
      </w:r>
      <w:r>
        <w:rPr>
          <w:rFonts w:hint="eastAsia" w:ascii="仿宋" w:hAnsi="仿宋" w:eastAsia="仿宋" w:cs="仿宋"/>
          <w:b w:val="0"/>
          <w:sz w:val="32"/>
          <w:szCs w:val="32"/>
          <w:lang w:val="en-US" w:eastAsia="zh-CN"/>
        </w:rPr>
        <w:t>6</w:t>
      </w:r>
      <w:r>
        <w:rPr>
          <w:rFonts w:hint="eastAsia" w:ascii="仿宋" w:hAnsi="仿宋" w:eastAsia="仿宋" w:cs="仿宋"/>
          <w:b w:val="0"/>
          <w:sz w:val="32"/>
          <w:szCs w:val="32"/>
        </w:rPr>
        <w:t>年    月    日</w:t>
      </w:r>
    </w:p>
    <w:p w14:paraId="61A57405">
      <w:r>
        <w:br w:type="page"/>
      </w:r>
    </w:p>
    <w:p w14:paraId="41DB83FB">
      <w:pPr>
        <w:keepNext/>
        <w:keepLines/>
        <w:spacing w:line="360" w:lineRule="auto"/>
        <w:jc w:val="center"/>
        <w:outlineLvl w:val="0"/>
        <w:rPr>
          <w:rFonts w:hint="eastAsia" w:ascii="仿宋_GB2312" w:hAnsi="仿宋_GB2312" w:eastAsia="仿宋_GB2312" w:cs="仿宋_GB2312"/>
          <w:b/>
          <w:bCs/>
          <w:color w:val="000000"/>
          <w:kern w:val="44"/>
          <w:sz w:val="40"/>
          <w:szCs w:val="40"/>
          <w:lang w:val="en-US" w:eastAsia="zh-CN"/>
        </w:rPr>
      </w:pPr>
      <w:r>
        <w:rPr>
          <w:rFonts w:hint="eastAsia" w:ascii="仿宋_GB2312" w:hAnsi="仿宋_GB2312" w:eastAsia="仿宋_GB2312" w:cs="仿宋_GB2312"/>
          <w:b/>
          <w:bCs/>
          <w:color w:val="000000"/>
          <w:kern w:val="44"/>
          <w:sz w:val="40"/>
          <w:szCs w:val="40"/>
          <w:lang w:val="en-US" w:eastAsia="zh-CN"/>
        </w:rPr>
        <w:t>二、投标须知</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2"/>
        <w:gridCol w:w="5648"/>
      </w:tblGrid>
      <w:tr w14:paraId="01D6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12" w:type="dxa"/>
          </w:tcPr>
          <w:p w14:paraId="3C771D5D">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项目名称</w:t>
            </w:r>
          </w:p>
        </w:tc>
        <w:tc>
          <w:tcPr>
            <w:tcW w:w="5648" w:type="dxa"/>
          </w:tcPr>
          <w:p w14:paraId="25661B7D">
            <w:pPr>
              <w:spacing w:after="0" w:line="240" w:lineRule="auto"/>
              <w:jc w:val="left"/>
              <w:rPr>
                <w:rFonts w:hint="eastAsia" w:ascii="仿宋" w:hAnsi="仿宋" w:eastAsia="仿宋" w:cs="仿宋"/>
                <w:sz w:val="24"/>
                <w:szCs w:val="24"/>
              </w:rPr>
            </w:pPr>
            <w:r>
              <w:rPr>
                <w:rFonts w:hint="eastAsia" w:ascii="仿宋" w:hAnsi="仿宋" w:eastAsia="仿宋" w:cs="仿宋"/>
                <w:b w:val="0"/>
                <w:sz w:val="24"/>
                <w:szCs w:val="24"/>
              </w:rPr>
              <w:t>潮华光储充项目棉西超充站运营管理服务采购项目</w:t>
            </w:r>
          </w:p>
        </w:tc>
      </w:tr>
      <w:tr w14:paraId="6B9E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4D8D7E28">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采购方式</w:t>
            </w:r>
          </w:p>
        </w:tc>
        <w:tc>
          <w:tcPr>
            <w:tcW w:w="5648" w:type="dxa"/>
          </w:tcPr>
          <w:p w14:paraId="030E57CA">
            <w:pPr>
              <w:spacing w:after="0" w:line="240" w:lineRule="auto"/>
              <w:jc w:val="left"/>
              <w:rPr>
                <w:rFonts w:hint="eastAsia" w:ascii="仿宋" w:hAnsi="仿宋" w:eastAsia="仿宋" w:cs="仿宋"/>
                <w:sz w:val="24"/>
                <w:szCs w:val="24"/>
              </w:rPr>
            </w:pPr>
            <w:r>
              <w:rPr>
                <w:rFonts w:hint="eastAsia" w:ascii="仿宋" w:hAnsi="仿宋" w:eastAsia="仿宋" w:cs="仿宋"/>
                <w:b w:val="0"/>
                <w:sz w:val="24"/>
                <w:szCs w:val="24"/>
              </w:rPr>
              <w:t>公开遴选</w:t>
            </w:r>
          </w:p>
        </w:tc>
      </w:tr>
      <w:tr w14:paraId="6D2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0E66890A">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评标方法</w:t>
            </w:r>
          </w:p>
        </w:tc>
        <w:tc>
          <w:tcPr>
            <w:tcW w:w="5648" w:type="dxa"/>
          </w:tcPr>
          <w:p w14:paraId="4D4C039A">
            <w:pPr>
              <w:spacing w:after="0" w:line="240" w:lineRule="auto"/>
              <w:jc w:val="left"/>
              <w:rPr>
                <w:rFonts w:hint="eastAsia" w:ascii="仿宋" w:hAnsi="仿宋" w:eastAsia="仿宋" w:cs="仿宋"/>
                <w:sz w:val="24"/>
                <w:szCs w:val="24"/>
              </w:rPr>
            </w:pPr>
            <w:r>
              <w:rPr>
                <w:rFonts w:hint="eastAsia" w:ascii="仿宋" w:hAnsi="仿宋" w:eastAsia="仿宋" w:cs="仿宋"/>
                <w:b w:val="0"/>
                <w:sz w:val="24"/>
                <w:szCs w:val="24"/>
              </w:rPr>
              <w:t>综合评分法</w:t>
            </w:r>
          </w:p>
        </w:tc>
      </w:tr>
      <w:tr w14:paraId="08D1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4A9A3A05">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资金来源</w:t>
            </w:r>
          </w:p>
        </w:tc>
        <w:tc>
          <w:tcPr>
            <w:tcW w:w="5648" w:type="dxa"/>
          </w:tcPr>
          <w:p w14:paraId="3B21B700">
            <w:pPr>
              <w:spacing w:after="0" w:line="240" w:lineRule="auto"/>
              <w:jc w:val="left"/>
              <w:rPr>
                <w:rFonts w:hint="eastAsia" w:ascii="仿宋" w:hAnsi="仿宋" w:eastAsia="仿宋" w:cs="仿宋"/>
                <w:sz w:val="24"/>
                <w:szCs w:val="24"/>
                <w:lang w:eastAsia="zh-CN"/>
              </w:rPr>
            </w:pPr>
            <w:r>
              <w:rPr>
                <w:rFonts w:hint="eastAsia" w:ascii="仿宋" w:hAnsi="仿宋" w:eastAsia="仿宋" w:cs="仿宋"/>
                <w:b w:val="0"/>
                <w:sz w:val="24"/>
                <w:szCs w:val="24"/>
                <w:highlight w:val="none"/>
                <w:lang w:val="en-US" w:eastAsia="zh-CN"/>
              </w:rPr>
              <w:t>公司自有资金</w:t>
            </w:r>
          </w:p>
        </w:tc>
      </w:tr>
      <w:tr w14:paraId="6388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412" w:type="dxa"/>
          </w:tcPr>
          <w:p w14:paraId="04D41B3D">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招标范围</w:t>
            </w:r>
          </w:p>
        </w:tc>
        <w:tc>
          <w:tcPr>
            <w:tcW w:w="5648" w:type="dxa"/>
          </w:tcPr>
          <w:p w14:paraId="532B6A41">
            <w:pPr>
              <w:spacing w:after="0" w:line="240" w:lineRule="auto"/>
              <w:jc w:val="left"/>
              <w:rPr>
                <w:rFonts w:hint="eastAsia" w:ascii="仿宋" w:hAnsi="仿宋" w:eastAsia="仿宋" w:cs="仿宋"/>
                <w:sz w:val="24"/>
                <w:szCs w:val="24"/>
              </w:rPr>
            </w:pPr>
            <w:r>
              <w:rPr>
                <w:rFonts w:hint="eastAsia" w:ascii="仿宋" w:hAnsi="仿宋" w:eastAsia="仿宋" w:cs="仿宋"/>
                <w:b w:val="0"/>
                <w:sz w:val="24"/>
                <w:szCs w:val="24"/>
              </w:rPr>
              <w:t>详见招标文件"三、服务需求书"</w:t>
            </w:r>
          </w:p>
        </w:tc>
      </w:tr>
      <w:tr w14:paraId="5DBD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2A7F24E9">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服务期限</w:t>
            </w:r>
          </w:p>
        </w:tc>
        <w:tc>
          <w:tcPr>
            <w:tcW w:w="5648" w:type="dxa"/>
          </w:tcPr>
          <w:p w14:paraId="0CFDBC71">
            <w:pPr>
              <w:spacing w:after="0" w:line="240" w:lineRule="auto"/>
              <w:jc w:val="left"/>
              <w:rPr>
                <w:rFonts w:hint="eastAsia" w:ascii="仿宋" w:hAnsi="仿宋" w:eastAsia="仿宋" w:cs="仿宋"/>
                <w:sz w:val="24"/>
                <w:szCs w:val="24"/>
              </w:rPr>
            </w:pPr>
            <w:r>
              <w:rPr>
                <w:rFonts w:hint="eastAsia" w:ascii="仿宋" w:hAnsi="仿宋" w:eastAsia="仿宋" w:cs="仿宋"/>
                <w:b w:val="0"/>
                <w:sz w:val="24"/>
                <w:szCs w:val="24"/>
              </w:rPr>
              <w:t>详见招标文件"三、服务需求书"</w:t>
            </w:r>
          </w:p>
        </w:tc>
      </w:tr>
      <w:tr w14:paraId="158C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12" w:type="dxa"/>
          </w:tcPr>
          <w:p w14:paraId="7C2B3F8D">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服务费用</w:t>
            </w:r>
          </w:p>
        </w:tc>
        <w:tc>
          <w:tcPr>
            <w:tcW w:w="5648" w:type="dxa"/>
          </w:tcPr>
          <w:p w14:paraId="5B686CDF">
            <w:pPr>
              <w:spacing w:after="0" w:line="240" w:lineRule="auto"/>
              <w:jc w:val="left"/>
              <w:rPr>
                <w:rFonts w:hint="eastAsia" w:ascii="仿宋" w:hAnsi="仿宋" w:eastAsia="仿宋" w:cs="仿宋"/>
                <w:sz w:val="24"/>
                <w:szCs w:val="24"/>
              </w:rPr>
            </w:pPr>
            <w:r>
              <w:rPr>
                <w:rFonts w:hint="eastAsia" w:ascii="仿宋" w:hAnsi="仿宋" w:eastAsia="仿宋" w:cs="仿宋"/>
                <w:b w:val="0"/>
                <w:sz w:val="24"/>
                <w:szCs w:val="24"/>
              </w:rPr>
              <w:t>以中标金额为准</w:t>
            </w:r>
          </w:p>
        </w:tc>
      </w:tr>
      <w:tr w14:paraId="5FF9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26659711">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项目主要内容</w:t>
            </w:r>
          </w:p>
        </w:tc>
        <w:tc>
          <w:tcPr>
            <w:tcW w:w="5648" w:type="dxa"/>
          </w:tcPr>
          <w:p w14:paraId="0067BC79">
            <w:pPr>
              <w:spacing w:after="0" w:line="240" w:lineRule="auto"/>
              <w:jc w:val="left"/>
              <w:rPr>
                <w:rFonts w:hint="eastAsia" w:ascii="仿宋" w:hAnsi="仿宋" w:eastAsia="仿宋" w:cs="仿宋"/>
                <w:sz w:val="24"/>
                <w:szCs w:val="24"/>
              </w:rPr>
            </w:pPr>
            <w:r>
              <w:rPr>
                <w:rFonts w:hint="eastAsia" w:ascii="仿宋" w:hAnsi="仿宋" w:eastAsia="仿宋" w:cs="仿宋"/>
                <w:b w:val="0"/>
                <w:sz w:val="24"/>
                <w:szCs w:val="24"/>
              </w:rPr>
              <w:t>详见招标文件"三、服务需求书"</w:t>
            </w:r>
          </w:p>
        </w:tc>
      </w:tr>
      <w:tr w14:paraId="39B8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2323EAB0">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投标人资格要求</w:t>
            </w:r>
          </w:p>
        </w:tc>
        <w:tc>
          <w:tcPr>
            <w:tcW w:w="5648" w:type="dxa"/>
          </w:tcPr>
          <w:p w14:paraId="0E3C1A20">
            <w:pPr>
              <w:spacing w:after="0" w:line="240" w:lineRule="auto"/>
              <w:jc w:val="left"/>
              <w:rPr>
                <w:rFonts w:hint="eastAsia" w:ascii="仿宋" w:hAnsi="仿宋" w:eastAsia="仿宋" w:cs="仿宋"/>
                <w:sz w:val="24"/>
                <w:szCs w:val="24"/>
              </w:rPr>
            </w:pPr>
            <w:r>
              <w:rPr>
                <w:rFonts w:hint="eastAsia" w:ascii="仿宋" w:hAnsi="仿宋" w:eastAsia="仿宋" w:cs="仿宋"/>
                <w:b w:val="0"/>
                <w:sz w:val="24"/>
                <w:szCs w:val="24"/>
              </w:rPr>
              <w:t>1.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r>
              <w:rPr>
                <w:rFonts w:hint="eastAsia" w:ascii="仿宋" w:hAnsi="仿宋" w:eastAsia="仿宋" w:cs="仿宋"/>
                <w:b w:val="0"/>
                <w:sz w:val="24"/>
                <w:szCs w:val="24"/>
              </w:rPr>
              <w:br w:type="textWrapping"/>
            </w:r>
            <w:r>
              <w:rPr>
                <w:rFonts w:hint="eastAsia" w:ascii="仿宋" w:hAnsi="仿宋" w:eastAsia="仿宋" w:cs="仿宋"/>
                <w:b w:val="0"/>
                <w:sz w:val="24"/>
                <w:szCs w:val="24"/>
              </w:rPr>
              <w:t>2.参与本项目投标前三年内，在经营活动中没有重大违法记录（在《投标及履约承诺函》中作出声明）</w:t>
            </w:r>
            <w:r>
              <w:rPr>
                <w:rFonts w:hint="eastAsia" w:ascii="仿宋" w:hAnsi="仿宋" w:eastAsia="仿宋" w:cs="仿宋"/>
                <w:b w:val="0"/>
                <w:sz w:val="24"/>
                <w:szCs w:val="24"/>
              </w:rPr>
              <w:br w:type="textWrapping"/>
            </w:r>
            <w:r>
              <w:rPr>
                <w:rFonts w:hint="eastAsia" w:ascii="仿宋" w:hAnsi="仿宋" w:eastAsia="仿宋" w:cs="仿宋"/>
                <w:b w:val="0"/>
                <w:sz w:val="24"/>
                <w:szCs w:val="24"/>
              </w:rPr>
              <w:t>3.参与本项目招标活动时不存在被有关部门禁止参与采购活动且在有效期内的情况（在《投标及履约承诺函》中作出声明）；</w:t>
            </w:r>
            <w:r>
              <w:rPr>
                <w:rFonts w:hint="eastAsia" w:ascii="仿宋" w:hAnsi="仿宋" w:eastAsia="仿宋" w:cs="仿宋"/>
                <w:b w:val="0"/>
                <w:sz w:val="24"/>
                <w:szCs w:val="24"/>
              </w:rPr>
              <w:br w:type="textWrapping"/>
            </w:r>
            <w:r>
              <w:rPr>
                <w:rFonts w:hint="eastAsia" w:ascii="仿宋" w:hAnsi="仿宋" w:eastAsia="仿宋" w:cs="仿宋"/>
                <w:b w:val="0"/>
                <w:sz w:val="24"/>
                <w:szCs w:val="24"/>
              </w:rPr>
              <w:t>4.具备《中华人民共和国政府采购法》第二十二条第一款的条件（在《投标及履约承诺函》中作出声明）</w:t>
            </w:r>
            <w:r>
              <w:rPr>
                <w:rFonts w:hint="eastAsia" w:ascii="仿宋" w:hAnsi="仿宋" w:eastAsia="仿宋" w:cs="仿宋"/>
                <w:b w:val="0"/>
                <w:sz w:val="24"/>
                <w:szCs w:val="24"/>
              </w:rPr>
              <w:br w:type="textWrapping"/>
            </w:r>
            <w:r>
              <w:rPr>
                <w:rFonts w:hint="eastAsia" w:ascii="仿宋" w:hAnsi="仿宋" w:eastAsia="仿宋" w:cs="仿宋"/>
                <w:b w:val="0"/>
                <w:sz w:val="24"/>
                <w:szCs w:val="24"/>
              </w:rPr>
              <w:t>5.未被列入失信被执行人、重大税收违法案件当事人名单、政府采购严重违法失信行为记录名单（在《投标及履约承诺函》中作出声明）</w:t>
            </w:r>
            <w:r>
              <w:rPr>
                <w:rFonts w:hint="eastAsia" w:ascii="仿宋" w:hAnsi="仿宋" w:eastAsia="仿宋" w:cs="仿宋"/>
                <w:b w:val="0"/>
                <w:sz w:val="24"/>
                <w:szCs w:val="24"/>
              </w:rPr>
              <w:br w:type="textWrapping"/>
            </w:r>
            <w:r>
              <w:rPr>
                <w:rFonts w:hint="eastAsia" w:ascii="仿宋" w:hAnsi="仿宋" w:eastAsia="仿宋" w:cs="仿宋"/>
                <w:b w:val="0"/>
                <w:sz w:val="24"/>
                <w:szCs w:val="24"/>
              </w:rPr>
              <w:t>6.单位负责人为同一人或者存在直接控股、管理关系的不同投标人，不得同时参加本项目投标（在《投标及履约承诺函》中作出声明）；</w:t>
            </w:r>
            <w:r>
              <w:rPr>
                <w:rFonts w:hint="eastAsia" w:ascii="仿宋" w:hAnsi="仿宋" w:eastAsia="仿宋" w:cs="仿宋"/>
                <w:b w:val="0"/>
                <w:sz w:val="24"/>
                <w:szCs w:val="24"/>
              </w:rPr>
              <w:br w:type="textWrapping"/>
            </w:r>
            <w:r>
              <w:rPr>
                <w:rFonts w:hint="eastAsia" w:ascii="仿宋" w:hAnsi="仿宋" w:eastAsia="仿宋" w:cs="仿宋"/>
                <w:b w:val="0"/>
                <w:sz w:val="24"/>
                <w:szCs w:val="24"/>
              </w:rPr>
              <w:t>7.本项目不接受联合体投标。</w:t>
            </w:r>
          </w:p>
        </w:tc>
      </w:tr>
      <w:tr w14:paraId="04A5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01BD0242">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投标文件份数</w:t>
            </w:r>
          </w:p>
        </w:tc>
        <w:tc>
          <w:tcPr>
            <w:tcW w:w="5648" w:type="dxa"/>
          </w:tcPr>
          <w:p w14:paraId="16458724">
            <w:pPr>
              <w:spacing w:after="0" w:line="240" w:lineRule="auto"/>
              <w:ind w:firstLine="480" w:firstLineChars="200"/>
              <w:jc w:val="left"/>
              <w:rPr>
                <w:rFonts w:hint="eastAsia" w:ascii="仿宋" w:hAnsi="仿宋" w:eastAsia="仿宋" w:cs="仿宋"/>
                <w:sz w:val="24"/>
                <w:szCs w:val="24"/>
              </w:rPr>
            </w:pPr>
            <w:r>
              <w:rPr>
                <w:rFonts w:hint="eastAsia" w:ascii="仿宋" w:hAnsi="仿宋" w:eastAsia="仿宋" w:cs="仿宋"/>
                <w:b w:val="0"/>
                <w:sz w:val="24"/>
                <w:szCs w:val="24"/>
              </w:rPr>
              <w:t>投标文件包含正本1份（投标函、证明书、委托书、承诺函、平台授权书、报价单需要单独盖章视为有效，其余部分有骑缝章视为有效），副本2份（可用正本复印件），电子标书1份（正本扫描件），投标文件的组成严格按"投标邀请函第六条"，标书文件需袋装密封、盖章（未密封、盖章投标文件，投标作废）。</w:t>
            </w:r>
          </w:p>
        </w:tc>
      </w:tr>
      <w:tr w14:paraId="1681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53A99D5A">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投标递交截止时间</w:t>
            </w:r>
          </w:p>
        </w:tc>
        <w:tc>
          <w:tcPr>
            <w:tcW w:w="5648" w:type="dxa"/>
          </w:tcPr>
          <w:p w14:paraId="76ACE116">
            <w:pPr>
              <w:spacing w:after="0" w:line="240" w:lineRule="auto"/>
              <w:jc w:val="left"/>
              <w:rPr>
                <w:rFonts w:hint="eastAsia" w:ascii="仿宋" w:hAnsi="仿宋" w:eastAsia="仿宋" w:cs="仿宋"/>
                <w:sz w:val="24"/>
                <w:szCs w:val="24"/>
                <w:highlight w:val="none"/>
                <w:lang w:eastAsia="zh-CN"/>
              </w:rPr>
            </w:pPr>
            <w:r>
              <w:rPr>
                <w:rFonts w:hint="eastAsia" w:ascii="仿宋" w:hAnsi="仿宋" w:eastAsia="仿宋" w:cs="仿宋"/>
                <w:b w:val="0"/>
                <w:sz w:val="24"/>
                <w:szCs w:val="24"/>
                <w:highlight w:val="none"/>
                <w:lang w:val="en-US" w:eastAsia="zh-CN"/>
              </w:rPr>
              <w:t>2026年4月2日12:00</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lang w:val="en-US" w:eastAsia="zh-CN"/>
              </w:rPr>
              <w:t>北京时间</w:t>
            </w:r>
            <w:r>
              <w:rPr>
                <w:rFonts w:hint="eastAsia" w:ascii="仿宋" w:hAnsi="仿宋" w:eastAsia="仿宋" w:cs="仿宋"/>
                <w:b w:val="0"/>
                <w:sz w:val="24"/>
                <w:szCs w:val="24"/>
                <w:highlight w:val="none"/>
                <w:lang w:eastAsia="zh-CN"/>
              </w:rPr>
              <w:t>）</w:t>
            </w:r>
          </w:p>
        </w:tc>
      </w:tr>
      <w:tr w14:paraId="26E5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08A858A8">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开标时间</w:t>
            </w:r>
          </w:p>
        </w:tc>
        <w:tc>
          <w:tcPr>
            <w:tcW w:w="5648" w:type="dxa"/>
          </w:tcPr>
          <w:p w14:paraId="6E239022">
            <w:pPr>
              <w:spacing w:after="0" w:line="240" w:lineRule="auto"/>
              <w:jc w:val="left"/>
              <w:rPr>
                <w:rFonts w:hint="eastAsia" w:ascii="仿宋" w:hAnsi="仿宋" w:eastAsia="仿宋" w:cs="仿宋"/>
                <w:sz w:val="24"/>
                <w:szCs w:val="24"/>
                <w:highlight w:val="none"/>
              </w:rPr>
            </w:pPr>
            <w:r>
              <w:rPr>
                <w:rFonts w:hint="eastAsia" w:ascii="仿宋" w:hAnsi="仿宋" w:eastAsia="仿宋" w:cs="仿宋"/>
                <w:b w:val="0"/>
                <w:sz w:val="24"/>
                <w:szCs w:val="24"/>
                <w:highlight w:val="none"/>
                <w:lang w:val="en-US" w:eastAsia="zh-CN"/>
              </w:rPr>
              <w:t>2026年4月2日12:00</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lang w:val="en-US" w:eastAsia="zh-CN"/>
              </w:rPr>
              <w:t>北京时间</w:t>
            </w:r>
            <w:r>
              <w:rPr>
                <w:rFonts w:hint="eastAsia" w:ascii="仿宋" w:hAnsi="仿宋" w:eastAsia="仿宋" w:cs="仿宋"/>
                <w:b w:val="0"/>
                <w:sz w:val="24"/>
                <w:szCs w:val="24"/>
                <w:highlight w:val="none"/>
                <w:lang w:eastAsia="zh-CN"/>
              </w:rPr>
              <w:t>）</w:t>
            </w:r>
          </w:p>
        </w:tc>
      </w:tr>
      <w:tr w14:paraId="33CC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2FF4D0FA">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投标地点</w:t>
            </w:r>
          </w:p>
        </w:tc>
        <w:tc>
          <w:tcPr>
            <w:tcW w:w="5648" w:type="dxa"/>
          </w:tcPr>
          <w:p w14:paraId="71B28C15">
            <w:pPr>
              <w:spacing w:after="0" w:line="240" w:lineRule="auto"/>
              <w:ind w:firstLine="480" w:firstLineChars="200"/>
              <w:jc w:val="left"/>
              <w:rPr>
                <w:rFonts w:hint="default" w:ascii="仿宋" w:hAnsi="仿宋" w:eastAsia="仿宋" w:cs="仿宋"/>
                <w:b w:val="0"/>
                <w:sz w:val="24"/>
                <w:szCs w:val="24"/>
                <w:lang w:val="en-US" w:eastAsia="zh-CN"/>
              </w:rPr>
            </w:pPr>
            <w:r>
              <w:rPr>
                <w:rFonts w:hint="eastAsia" w:ascii="仿宋" w:hAnsi="仿宋" w:eastAsia="仿宋" w:cs="仿宋"/>
                <w:b w:val="0"/>
                <w:sz w:val="24"/>
                <w:szCs w:val="24"/>
                <w:lang w:val="en-US" w:eastAsia="zh-CN"/>
              </w:rPr>
              <w:t>汕头市潮阳区纺织印染环保综合处理中心管理中心3</w:t>
            </w:r>
            <w:bookmarkStart w:id="1" w:name="_GoBack"/>
            <w:bookmarkEnd w:id="1"/>
            <w:r>
              <w:rPr>
                <w:rFonts w:hint="eastAsia" w:ascii="仿宋" w:hAnsi="仿宋" w:eastAsia="仿宋" w:cs="仿宋"/>
                <w:b w:val="0"/>
                <w:sz w:val="24"/>
                <w:szCs w:val="24"/>
                <w:lang w:val="en-US" w:eastAsia="zh-CN"/>
              </w:rPr>
              <w:t>楼304室。</w:t>
            </w:r>
          </w:p>
          <w:p w14:paraId="27461C79">
            <w:pPr>
              <w:spacing w:after="0" w:line="240" w:lineRule="auto"/>
              <w:jc w:val="left"/>
              <w:rPr>
                <w:rFonts w:hint="eastAsia" w:ascii="仿宋" w:hAnsi="仿宋" w:eastAsia="仿宋" w:cs="仿宋"/>
                <w:sz w:val="24"/>
                <w:szCs w:val="24"/>
              </w:rPr>
            </w:pPr>
          </w:p>
        </w:tc>
      </w:tr>
      <w:tr w14:paraId="3CDE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12" w:type="dxa"/>
          </w:tcPr>
          <w:p w14:paraId="32E1BCF3">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采购人及联系电话</w:t>
            </w:r>
          </w:p>
        </w:tc>
        <w:tc>
          <w:tcPr>
            <w:tcW w:w="5648" w:type="dxa"/>
          </w:tcPr>
          <w:p w14:paraId="7CA1DADB">
            <w:pPr>
              <w:spacing w:after="0" w:line="240" w:lineRule="auto"/>
              <w:jc w:val="left"/>
              <w:rPr>
                <w:rFonts w:hint="eastAsia" w:ascii="仿宋" w:hAnsi="仿宋" w:eastAsia="仿宋" w:cs="仿宋"/>
                <w:sz w:val="24"/>
                <w:szCs w:val="24"/>
              </w:rPr>
            </w:pPr>
            <w:r>
              <w:rPr>
                <w:rFonts w:hint="eastAsia" w:ascii="仿宋" w:hAnsi="仿宋" w:eastAsia="仿宋" w:cs="仿宋"/>
                <w:b w:val="0"/>
                <w:sz w:val="24"/>
                <w:szCs w:val="24"/>
              </w:rPr>
              <w:t>吴工 17302659304</w:t>
            </w:r>
          </w:p>
        </w:tc>
      </w:tr>
      <w:tr w14:paraId="1B14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12" w:type="dxa"/>
          </w:tcPr>
          <w:p w14:paraId="498140FB">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投标限价</w:t>
            </w:r>
          </w:p>
        </w:tc>
        <w:tc>
          <w:tcPr>
            <w:tcW w:w="5648" w:type="dxa"/>
          </w:tcPr>
          <w:p w14:paraId="4A5377FE">
            <w:pPr>
              <w:spacing w:after="0" w:line="240" w:lineRule="auto"/>
              <w:jc w:val="left"/>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服务费的12%以内</w:t>
            </w:r>
          </w:p>
        </w:tc>
      </w:tr>
      <w:tr w14:paraId="7341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082CB0AF">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付款方式</w:t>
            </w:r>
          </w:p>
        </w:tc>
        <w:tc>
          <w:tcPr>
            <w:tcW w:w="5648" w:type="dxa"/>
          </w:tcPr>
          <w:p w14:paraId="39660D2D">
            <w:pPr>
              <w:spacing w:after="0" w:line="240" w:lineRule="auto"/>
              <w:jc w:val="left"/>
              <w:rPr>
                <w:rFonts w:hint="eastAsia" w:ascii="仿宋" w:hAnsi="仿宋" w:eastAsia="仿宋" w:cs="仿宋"/>
                <w:sz w:val="24"/>
                <w:szCs w:val="24"/>
              </w:rPr>
            </w:pPr>
            <w:r>
              <w:rPr>
                <w:rFonts w:hint="eastAsia" w:ascii="仿宋" w:hAnsi="仿宋" w:eastAsia="仿宋" w:cs="仿宋"/>
                <w:b w:val="0"/>
                <w:sz w:val="24"/>
                <w:szCs w:val="24"/>
              </w:rPr>
              <w:t>详见招标文件"四、合同条款及格式"</w:t>
            </w:r>
          </w:p>
        </w:tc>
      </w:tr>
      <w:tr w14:paraId="22AF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2C0A6917">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投标保证金</w:t>
            </w:r>
          </w:p>
        </w:tc>
        <w:tc>
          <w:tcPr>
            <w:tcW w:w="5648" w:type="dxa"/>
          </w:tcPr>
          <w:p w14:paraId="6B68FB7D">
            <w:pPr>
              <w:spacing w:after="0" w:line="240" w:lineRule="auto"/>
              <w:jc w:val="left"/>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1、保证金金额：人民币3,000元（大写：人民币叁仟元整）。</w:t>
            </w:r>
          </w:p>
          <w:p w14:paraId="54DAA3FA">
            <w:pPr>
              <w:spacing w:after="0" w:line="240" w:lineRule="auto"/>
              <w:jc w:val="left"/>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2、缴纳时间：投标人须在本次公开招投标期限（共5天，具体日期以招标公告载明的起止时间为准）内足额缴纳投标保证金，逾期未缴纳的，其投标将被视为无效投标。</w:t>
            </w:r>
          </w:p>
          <w:p w14:paraId="7F38ADDE">
            <w:pPr>
              <w:spacing w:after="0" w:line="240" w:lineRule="auto"/>
              <w:jc w:val="left"/>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3、缴纳方式及账号：投标保证金须通过投标人对公账户以转账方式缴纳，不接受现金及个人转账。收款账号信息如下：</w:t>
            </w:r>
          </w:p>
          <w:p w14:paraId="1ABD072E">
            <w:pPr>
              <w:spacing w:after="0" w:line="240" w:lineRule="auto"/>
              <w:jc w:val="left"/>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名称：汕头市潮华产业园区运营管理有限公司</w:t>
            </w:r>
          </w:p>
          <w:p w14:paraId="18730F8F">
            <w:pPr>
              <w:spacing w:after="0" w:line="240" w:lineRule="auto"/>
              <w:jc w:val="left"/>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开户行及账号：广东潮阳农村商业银行股份有限公司文光支行   80020000023356156</w:t>
            </w:r>
          </w:p>
          <w:p w14:paraId="042F8E66">
            <w:pPr>
              <w:spacing w:after="0" w:line="240" w:lineRule="auto"/>
              <w:jc w:val="left"/>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4、退还说明：</w:t>
            </w:r>
          </w:p>
          <w:p w14:paraId="32F9ABFA">
            <w:pPr>
              <w:spacing w:after="0" w:line="240" w:lineRule="auto"/>
              <w:jc w:val="left"/>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4.1未中标投标人的投标保证金，将在中标通知书发出后10个工作日内无息原路退还。</w:t>
            </w:r>
          </w:p>
          <w:p w14:paraId="4CCC97C0">
            <w:pPr>
              <w:spacing w:after="0" w:line="240" w:lineRule="auto"/>
              <w:jc w:val="left"/>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4.2中标投标人的投标保证金，在签订合同后10个工作日内无息原路退还。</w:t>
            </w:r>
          </w:p>
          <w:p w14:paraId="10526859">
            <w:pPr>
              <w:spacing w:after="0" w:line="240" w:lineRule="auto"/>
              <w:jc w:val="left"/>
              <w:rPr>
                <w:rFonts w:hint="default" w:ascii="仿宋" w:hAnsi="仿宋" w:eastAsia="仿宋" w:cs="仿宋"/>
                <w:sz w:val="24"/>
                <w:szCs w:val="24"/>
                <w:lang w:val="en-US" w:eastAsia="zh-CN"/>
              </w:rPr>
            </w:pPr>
            <w:r>
              <w:rPr>
                <w:rFonts w:hint="eastAsia" w:ascii="仿宋" w:hAnsi="仿宋" w:eastAsia="仿宋" w:cs="仿宋"/>
                <w:b w:val="0"/>
                <w:sz w:val="24"/>
                <w:szCs w:val="24"/>
                <w:highlight w:val="none"/>
                <w:lang w:val="en-US" w:eastAsia="zh-CN"/>
              </w:rPr>
              <w:t>4.3若投标人存在串通投标、弄虚作假、中标后无正当理由拒不签订合同等违规行为，投标保证金将不予退还。</w:t>
            </w:r>
          </w:p>
        </w:tc>
      </w:tr>
      <w:tr w14:paraId="2681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71F91523">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其他要求</w:t>
            </w:r>
          </w:p>
        </w:tc>
        <w:tc>
          <w:tcPr>
            <w:tcW w:w="5648" w:type="dxa"/>
          </w:tcPr>
          <w:p w14:paraId="004DF9E3">
            <w:pPr>
              <w:spacing w:after="0" w:line="240" w:lineRule="auto"/>
              <w:jc w:val="left"/>
              <w:rPr>
                <w:rFonts w:hint="eastAsia" w:ascii="仿宋" w:hAnsi="仿宋" w:eastAsia="仿宋" w:cs="仿宋"/>
                <w:sz w:val="24"/>
                <w:szCs w:val="24"/>
              </w:rPr>
            </w:pPr>
            <w:r>
              <w:rPr>
                <w:rFonts w:hint="eastAsia" w:ascii="仿宋" w:hAnsi="仿宋" w:eastAsia="仿宋" w:cs="仿宋"/>
                <w:b w:val="0"/>
                <w:sz w:val="24"/>
                <w:szCs w:val="24"/>
              </w:rPr>
              <w:t>投标人必须保证投标时所报资料真实有效，招标人保留对资料的核查权力，一旦发现资料有虚假现象将移交有关部门处理。</w:t>
            </w:r>
          </w:p>
        </w:tc>
      </w:tr>
      <w:tr w14:paraId="08FF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6174BEA0">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定义说明</w:t>
            </w:r>
          </w:p>
        </w:tc>
        <w:tc>
          <w:tcPr>
            <w:tcW w:w="5648" w:type="dxa"/>
          </w:tcPr>
          <w:p w14:paraId="5600793B">
            <w:pPr>
              <w:spacing w:after="0" w:line="240" w:lineRule="auto"/>
              <w:jc w:val="left"/>
              <w:rPr>
                <w:rFonts w:hint="eastAsia" w:ascii="仿宋" w:hAnsi="仿宋" w:eastAsia="仿宋" w:cs="仿宋"/>
                <w:b w:val="0"/>
                <w:sz w:val="24"/>
                <w:szCs w:val="24"/>
                <w:lang w:eastAsia="zh-CN"/>
              </w:rPr>
            </w:pPr>
            <w:r>
              <w:rPr>
                <w:rFonts w:hint="eastAsia" w:ascii="仿宋" w:hAnsi="仿宋" w:eastAsia="仿宋" w:cs="仿宋"/>
                <w:b w:val="0"/>
                <w:sz w:val="24"/>
                <w:szCs w:val="24"/>
              </w:rPr>
              <w:t>本招标文件中所列</w:t>
            </w:r>
            <w:r>
              <w:rPr>
                <w:rFonts w:hint="eastAsia" w:ascii="仿宋" w:hAnsi="仿宋" w:eastAsia="仿宋" w:cs="仿宋"/>
                <w:b w:val="0"/>
                <w:sz w:val="24"/>
                <w:szCs w:val="24"/>
                <w:lang w:eastAsia="zh-CN"/>
              </w:rPr>
              <w:t>“</w:t>
            </w:r>
            <w:r>
              <w:rPr>
                <w:rFonts w:hint="eastAsia" w:ascii="仿宋" w:hAnsi="仿宋" w:eastAsia="仿宋" w:cs="仿宋"/>
                <w:b w:val="0"/>
                <w:sz w:val="24"/>
                <w:szCs w:val="24"/>
              </w:rPr>
              <w:t>招标人</w:t>
            </w:r>
            <w:r>
              <w:rPr>
                <w:rFonts w:hint="eastAsia" w:ascii="仿宋" w:hAnsi="仿宋" w:eastAsia="仿宋" w:cs="仿宋"/>
                <w:b w:val="0"/>
                <w:sz w:val="24"/>
                <w:szCs w:val="24"/>
                <w:lang w:eastAsia="zh-CN"/>
              </w:rPr>
              <w:t>”</w:t>
            </w:r>
            <w:r>
              <w:rPr>
                <w:rFonts w:hint="eastAsia" w:ascii="仿宋" w:hAnsi="仿宋" w:eastAsia="仿宋" w:cs="仿宋"/>
                <w:b w:val="0"/>
                <w:sz w:val="24"/>
                <w:szCs w:val="24"/>
              </w:rPr>
              <w:t>、</w:t>
            </w:r>
            <w:r>
              <w:rPr>
                <w:rFonts w:hint="eastAsia" w:ascii="仿宋" w:hAnsi="仿宋" w:eastAsia="仿宋" w:cs="仿宋"/>
                <w:b w:val="0"/>
                <w:sz w:val="24"/>
                <w:szCs w:val="24"/>
                <w:lang w:eastAsia="zh-CN"/>
              </w:rPr>
              <w:t>“</w:t>
            </w:r>
            <w:r>
              <w:rPr>
                <w:rFonts w:hint="eastAsia" w:ascii="仿宋" w:hAnsi="仿宋" w:eastAsia="仿宋" w:cs="仿宋"/>
                <w:b w:val="0"/>
                <w:sz w:val="24"/>
                <w:szCs w:val="24"/>
              </w:rPr>
              <w:t>采购人</w:t>
            </w:r>
            <w:r>
              <w:rPr>
                <w:rFonts w:hint="eastAsia" w:ascii="仿宋" w:hAnsi="仿宋" w:eastAsia="仿宋" w:cs="仿宋"/>
                <w:b w:val="0"/>
                <w:sz w:val="24"/>
                <w:szCs w:val="24"/>
                <w:lang w:eastAsia="zh-CN"/>
              </w:rPr>
              <w:t>”</w:t>
            </w:r>
            <w:r>
              <w:rPr>
                <w:rFonts w:hint="eastAsia" w:ascii="仿宋" w:hAnsi="仿宋" w:eastAsia="仿宋" w:cs="仿宋"/>
                <w:b w:val="0"/>
                <w:sz w:val="24"/>
                <w:szCs w:val="24"/>
              </w:rPr>
              <w:t>均指汕头市潮华产业园区运营管理有限公司</w:t>
            </w:r>
            <w:r>
              <w:rPr>
                <w:rFonts w:hint="eastAsia" w:ascii="仿宋" w:hAnsi="仿宋" w:eastAsia="仿宋" w:cs="仿宋"/>
                <w:b w:val="0"/>
                <w:sz w:val="24"/>
                <w:szCs w:val="24"/>
                <w:lang w:eastAsia="zh-CN"/>
              </w:rPr>
              <w:t>；</w:t>
            </w:r>
          </w:p>
          <w:p w14:paraId="5D034F1C">
            <w:pPr>
              <w:spacing w:after="0" w:line="240" w:lineRule="auto"/>
              <w:jc w:val="left"/>
              <w:rPr>
                <w:rFonts w:hint="eastAsia" w:ascii="仿宋" w:hAnsi="仿宋" w:eastAsia="仿宋" w:cs="仿宋"/>
                <w:b w:val="0"/>
                <w:sz w:val="24"/>
                <w:szCs w:val="24"/>
                <w:highlight w:val="yellow"/>
                <w:lang w:eastAsia="zh-CN"/>
              </w:rPr>
            </w:pPr>
            <w:r>
              <w:rPr>
                <w:rFonts w:hint="eastAsia" w:ascii="仿宋" w:hAnsi="仿宋" w:eastAsia="仿宋" w:cs="仿宋"/>
                <w:b w:val="0"/>
                <w:sz w:val="24"/>
                <w:szCs w:val="24"/>
                <w:highlight w:val="none"/>
                <w:lang w:eastAsia="zh-CN"/>
              </w:rPr>
              <w:t>“服务费”指终端充电用户通过充电设施实际支付的充电服务费用（即用户支付总额中扣除电费后的余额）；不含停车费、政府补贴、碳积分收益及其他非充电服务收入。服务费的具体构成、计算方式及相关费用扣减标准，以甲乙双方签署的《运营管理服务合同》约定为准。</w:t>
            </w:r>
          </w:p>
        </w:tc>
      </w:tr>
      <w:tr w14:paraId="46A1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2" w:type="dxa"/>
          </w:tcPr>
          <w:p w14:paraId="2C8F897A">
            <w:pPr>
              <w:spacing w:after="0" w:line="240" w:lineRule="auto"/>
              <w:jc w:val="left"/>
              <w:rPr>
                <w:rFonts w:hint="eastAsia" w:ascii="仿宋" w:hAnsi="仿宋" w:eastAsia="仿宋" w:cs="仿宋"/>
                <w:sz w:val="24"/>
                <w:szCs w:val="24"/>
              </w:rPr>
            </w:pPr>
            <w:r>
              <w:rPr>
                <w:rFonts w:hint="eastAsia" w:ascii="仿宋" w:hAnsi="仿宋" w:eastAsia="仿宋" w:cs="仿宋"/>
                <w:b/>
                <w:sz w:val="24"/>
                <w:szCs w:val="24"/>
              </w:rPr>
              <w:t>其他事项</w:t>
            </w:r>
          </w:p>
        </w:tc>
        <w:tc>
          <w:tcPr>
            <w:tcW w:w="5648" w:type="dxa"/>
          </w:tcPr>
          <w:p w14:paraId="6BD9BD0E">
            <w:pPr>
              <w:spacing w:after="0" w:line="240" w:lineRule="auto"/>
              <w:jc w:val="left"/>
              <w:rPr>
                <w:rFonts w:hint="eastAsia" w:ascii="仿宋" w:hAnsi="仿宋" w:eastAsia="仿宋" w:cs="仿宋"/>
                <w:sz w:val="24"/>
                <w:szCs w:val="24"/>
              </w:rPr>
            </w:pPr>
            <w:r>
              <w:rPr>
                <w:rFonts w:hint="eastAsia" w:ascii="仿宋" w:hAnsi="仿宋" w:eastAsia="仿宋" w:cs="仿宋"/>
                <w:b w:val="0"/>
                <w:sz w:val="24"/>
                <w:szCs w:val="24"/>
              </w:rPr>
              <w:t>无</w:t>
            </w:r>
          </w:p>
        </w:tc>
      </w:tr>
    </w:tbl>
    <w:p w14:paraId="22616F86">
      <w:r>
        <w:br w:type="page"/>
      </w:r>
    </w:p>
    <w:p w14:paraId="6D15D028">
      <w:pPr>
        <w:keepNext/>
        <w:keepLines/>
        <w:spacing w:line="360" w:lineRule="auto"/>
        <w:jc w:val="center"/>
        <w:outlineLvl w:val="0"/>
        <w:rPr>
          <w:rFonts w:hint="eastAsia" w:ascii="仿宋_GB2312" w:hAnsi="仿宋_GB2312" w:eastAsia="仿宋_GB2312" w:cs="仿宋_GB2312"/>
          <w:b/>
          <w:bCs/>
          <w:color w:val="000000"/>
          <w:kern w:val="44"/>
          <w:sz w:val="40"/>
          <w:szCs w:val="40"/>
          <w:lang w:val="en-US" w:eastAsia="zh-CN"/>
        </w:rPr>
      </w:pPr>
      <w:r>
        <w:rPr>
          <w:rFonts w:hint="eastAsia" w:ascii="仿宋_GB2312" w:hAnsi="仿宋_GB2312" w:eastAsia="仿宋_GB2312" w:cs="仿宋_GB2312"/>
          <w:b/>
          <w:bCs/>
          <w:color w:val="000000"/>
          <w:kern w:val="44"/>
          <w:sz w:val="40"/>
          <w:szCs w:val="40"/>
          <w:lang w:val="en-US" w:eastAsia="zh-CN"/>
        </w:rPr>
        <w:t>三、服务需求书</w:t>
      </w:r>
    </w:p>
    <w:p w14:paraId="6EB5B373">
      <w:pPr>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一、项目基本情况</w:t>
      </w:r>
    </w:p>
    <w:p w14:paraId="312E324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招标项目旨在为汕头市潮华产业园区运营管理有限公司旗下的棉西超充站选取专业运营服务单位。运营服务单位需提供全面的线上线下运营服务，以确保充电站高效、稳定、安全运行，为用户提供优质便捷的充电服务体验。</w:t>
      </w:r>
    </w:p>
    <w:p w14:paraId="367E869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项目名称：潮华光储充项目棉西超充站运营管理服务采购项目</w:t>
      </w:r>
    </w:p>
    <w:p w14:paraId="3187288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项目地址：汕头市潮阳区海关大楼文光车检场</w:t>
      </w:r>
    </w:p>
    <w:p w14:paraId="034123A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项目规模：</w:t>
      </w:r>
    </w:p>
    <w:p w14:paraId="3CD2502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（1）充电设施：配置800kVA箱变1</w:t>
      </w:r>
      <w:r>
        <w:rPr>
          <w:rFonts w:hint="eastAsia" w:ascii="仿宋" w:hAnsi="仿宋" w:eastAsia="仿宋" w:cs="仿宋"/>
          <w:sz w:val="32"/>
          <w:szCs w:val="32"/>
          <w:lang w:val="en-US" w:eastAsia="zh-CN"/>
        </w:rPr>
        <w:t>台</w:t>
      </w:r>
      <w:r>
        <w:rPr>
          <w:rFonts w:hint="eastAsia" w:ascii="仿宋" w:hAnsi="仿宋" w:eastAsia="仿宋" w:cs="仿宋"/>
          <w:sz w:val="32"/>
          <w:szCs w:val="32"/>
        </w:rPr>
        <w:t>、800kW充电堆1</w:t>
      </w:r>
      <w:r>
        <w:rPr>
          <w:rFonts w:hint="eastAsia" w:ascii="仿宋" w:hAnsi="仿宋" w:eastAsia="仿宋" w:cs="仿宋"/>
          <w:sz w:val="32"/>
          <w:szCs w:val="32"/>
          <w:lang w:val="en-US" w:eastAsia="zh-CN" w:bidi="ar-SA"/>
        </w:rPr>
        <w:t>台</w:t>
      </w:r>
      <w:r>
        <w:rPr>
          <w:rFonts w:hint="eastAsia" w:ascii="仿宋" w:hAnsi="仿宋" w:eastAsia="仿宋" w:cs="仿宋"/>
          <w:sz w:val="32"/>
          <w:szCs w:val="32"/>
        </w:rPr>
        <w:t>，共计16把充电枪，包括：600A液冷超充终端1台（单枪）、250kW快充终端7台（双枪）、250kW快充终端1台（单枪）。</w:t>
      </w:r>
    </w:p>
    <w:p w14:paraId="30100E6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（2）光伏系统：装机容量66.96kW，配置620W单晶硅光伏组件108块、60kW逆变器1台、67kW并网进线柜1台，采用</w:t>
      </w:r>
      <w:r>
        <w:rPr>
          <w:rFonts w:hint="eastAsia" w:ascii="仿宋" w:hAnsi="仿宋" w:eastAsia="仿宋" w:cs="仿宋"/>
          <w:sz w:val="32"/>
          <w:szCs w:val="32"/>
          <w:lang w:eastAsia="zh-CN"/>
        </w:rPr>
        <w:t>“</w:t>
      </w:r>
      <w:r>
        <w:rPr>
          <w:rFonts w:hint="eastAsia" w:ascii="仿宋" w:hAnsi="仿宋" w:eastAsia="仿宋" w:cs="仿宋"/>
          <w:sz w:val="32"/>
          <w:szCs w:val="32"/>
        </w:rPr>
        <w:t>自发自用，余电上网</w:t>
      </w:r>
      <w:r>
        <w:rPr>
          <w:rFonts w:hint="eastAsia" w:ascii="仿宋" w:hAnsi="仿宋" w:eastAsia="仿宋" w:cs="仿宋"/>
          <w:sz w:val="32"/>
          <w:szCs w:val="32"/>
          <w:lang w:eastAsia="zh-CN"/>
        </w:rPr>
        <w:t>”</w:t>
      </w:r>
      <w:r>
        <w:rPr>
          <w:rFonts w:hint="eastAsia" w:ascii="仿宋" w:hAnsi="仿宋" w:eastAsia="仿宋" w:cs="仿宋"/>
          <w:sz w:val="32"/>
          <w:szCs w:val="32"/>
        </w:rPr>
        <w:t>模式。</w:t>
      </w:r>
    </w:p>
    <w:p w14:paraId="53E54FC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（3）储能系统：配置125kW/261kWh分布式储能柜1台。</w:t>
      </w:r>
    </w:p>
    <w:p w14:paraId="7FB8E95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b/>
          <w:sz w:val="32"/>
          <w:szCs w:val="32"/>
        </w:rPr>
      </w:pPr>
      <w:r>
        <w:rPr>
          <w:rFonts w:hint="eastAsia" w:ascii="仿宋" w:hAnsi="仿宋" w:eastAsia="仿宋" w:cs="仿宋"/>
          <w:sz w:val="32"/>
          <w:szCs w:val="32"/>
        </w:rPr>
        <w:t>（4）配套设施：休息室1个、咖啡车1台。</w:t>
      </w:r>
    </w:p>
    <w:p w14:paraId="5870136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服务期限：服务期限自合同生效之日起1年。</w:t>
      </w:r>
    </w:p>
    <w:p w14:paraId="44E53186">
      <w:pPr>
        <w:jc w:val="left"/>
        <w:rPr>
          <w:rFonts w:hint="eastAsia" w:ascii="方正仿宋_GB2312" w:hAnsi="方正仿宋_GB2312" w:eastAsia="方正仿宋_GB2312" w:cs="方正仿宋_GB2312"/>
          <w:b/>
          <w:sz w:val="32"/>
          <w:szCs w:val="32"/>
          <w:highlight w:val="red"/>
        </w:rPr>
      </w:pPr>
    </w:p>
    <w:p w14:paraId="3A6FC1F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招标范围：充电平台及配套运营服务、电站线下管理服务、电站日常巡检服务、电站配套资产巡检服务以及光储充一体化智能调度服务等，详见下文。</w:t>
      </w:r>
    </w:p>
    <w:p w14:paraId="1E50EBD5">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二、运营服务单位要求</w:t>
      </w:r>
    </w:p>
    <w:p w14:paraId="02731FB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组织架构要求</w:t>
      </w:r>
    </w:p>
    <w:p w14:paraId="2D2603A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投标人应设立专门的项目运营团队，实行项目经理负责制，组织架构应包含：</w:t>
      </w:r>
    </w:p>
    <w:p w14:paraId="28C4F52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（1）运营调度组：负责线上监控、用户引流、订单结算等；</w:t>
      </w:r>
    </w:p>
    <w:p w14:paraId="216A81C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（2）运维抢修组：负责线下巡检、故障维修、应急处理等；</w:t>
      </w:r>
    </w:p>
    <w:p w14:paraId="37F9153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（3）安全管理组：负责安全检查、隐患排查、应急演练等。</w:t>
      </w:r>
    </w:p>
    <w:p w14:paraId="6FED4EE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本地化服务能力</w:t>
      </w:r>
    </w:p>
    <w:p w14:paraId="427D130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（1）驻点设置：投标人在项目周边20公里内应设立常驻运维服务站或具备快速响应能力，配备应急车辆、备品备件库及专业工具。</w:t>
      </w:r>
    </w:p>
    <w:p w14:paraId="42AE414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（2）人员配置：</w:t>
      </w:r>
    </w:p>
    <w:p w14:paraId="46121F7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①项目负责人：1名，具有</w:t>
      </w:r>
      <w:r>
        <w:rPr>
          <w:rFonts w:hint="eastAsia" w:ascii="仿宋" w:hAnsi="仿宋" w:eastAsia="仿宋" w:cs="仿宋"/>
          <w:sz w:val="32"/>
          <w:szCs w:val="32"/>
          <w:lang w:val="en-US" w:eastAsia="zh-CN"/>
        </w:rPr>
        <w:t>一定的</w:t>
      </w:r>
      <w:r>
        <w:rPr>
          <w:rFonts w:hint="eastAsia" w:ascii="仿宋" w:hAnsi="仿宋" w:eastAsia="仿宋" w:cs="仿宋"/>
          <w:sz w:val="32"/>
          <w:szCs w:val="32"/>
        </w:rPr>
        <w:t>充电站、光伏或储能项目运营管理经验，熟悉新能源设施日常运维管理；</w:t>
      </w:r>
    </w:p>
    <w:p w14:paraId="3EAE71E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②运维工程师：不少于2名，经过充电设备、光伏逆变器</w:t>
      </w:r>
      <w:r>
        <w:rPr>
          <w:rFonts w:hint="eastAsia" w:ascii="仿宋" w:hAnsi="仿宋" w:eastAsia="仿宋" w:cs="仿宋"/>
          <w:sz w:val="32"/>
          <w:szCs w:val="32"/>
          <w:lang w:val="en-US" w:eastAsia="zh-CN"/>
        </w:rPr>
        <w:t>或</w:t>
      </w:r>
      <w:r>
        <w:rPr>
          <w:rFonts w:hint="eastAsia" w:ascii="仿宋" w:hAnsi="仿宋" w:eastAsia="仿宋" w:cs="仿宋"/>
          <w:sz w:val="32"/>
          <w:szCs w:val="32"/>
        </w:rPr>
        <w:t>储能系统的专业培训；</w:t>
      </w:r>
    </w:p>
    <w:p w14:paraId="412A108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③线上监控人员：具备24小时值班能力，通过平台实时监测设备状态，发现问题及时派单处理。</w:t>
      </w:r>
    </w:p>
    <w:p w14:paraId="1FF93E8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 专业资质要求</w:t>
      </w:r>
    </w:p>
    <w:p w14:paraId="30529E0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运营服务单位和运营工作应符合国家、行业及地方相关标准规范要求，包括但不限于：</w:t>
      </w:r>
    </w:p>
    <w:p w14:paraId="1F68333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（1）具备充电设施运营相关资质和能力；</w:t>
      </w:r>
    </w:p>
    <w:p w14:paraId="6919094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（2）具备光储充一体化系统的运营管理能力；</w:t>
      </w:r>
    </w:p>
    <w:p w14:paraId="5E3425D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（3）建立完善的运营管理制度和应急预案体系。</w:t>
      </w:r>
    </w:p>
    <w:p w14:paraId="137F7E63">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三、运营服务工作内容</w:t>
      </w:r>
    </w:p>
    <w:p w14:paraId="4E995AD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充电平台及配套运营服务</w:t>
      </w:r>
    </w:p>
    <w:p w14:paraId="512AB36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投标人须负责将充电站接入安全稳定的充电运营平台，并在投标文件中明确拟接入平台的具体信息。充电服务费的收取、结算及分配方式具体以甲乙双方签署的《运营管理服务合同》约定为准。</w:t>
      </w:r>
    </w:p>
    <w:p w14:paraId="0D686BD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red"/>
        </w:rPr>
      </w:pPr>
      <w:r>
        <w:rPr>
          <w:rFonts w:hint="eastAsia" w:ascii="仿宋" w:hAnsi="仿宋" w:eastAsia="仿宋" w:cs="仿宋"/>
          <w:sz w:val="32"/>
          <w:szCs w:val="32"/>
        </w:rPr>
        <w:t>充电平台应具备的功能：</w:t>
      </w:r>
    </w:p>
    <w:p w14:paraId="5A3D0A6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red"/>
        </w:rPr>
      </w:pPr>
      <w:r>
        <w:rPr>
          <w:rFonts w:hint="eastAsia" w:ascii="仿宋" w:hAnsi="仿宋" w:eastAsia="仿宋" w:cs="仿宋"/>
          <w:sz w:val="32"/>
          <w:szCs w:val="32"/>
        </w:rPr>
        <w:t>①启动充电、停止充电、电站导航、实时充电设备状态展示、充电费用公示、充电用户订单管理、用户会员等功能；</w:t>
      </w:r>
    </w:p>
    <w:p w14:paraId="70FF308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②后台统计充电异常率、功率满足率、设备可用率等，具有充电桩故障告警功能；</w:t>
      </w:r>
    </w:p>
    <w:p w14:paraId="7CC92D8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③充电过程监控与报警、安全风险预警，实时采集电压、电流、温度、SOC等参数，故障代码自动识别；</w:t>
      </w:r>
    </w:p>
    <w:p w14:paraId="1B05270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④充电平台具备充电主动安全防护功能；</w:t>
      </w:r>
    </w:p>
    <w:p w14:paraId="1ACAF43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⑤具有充电订单/充电数据汇总和导出功能；</w:t>
      </w:r>
    </w:p>
    <w:p w14:paraId="25F422C0">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⑥可配置优惠券/营销活动功能；</w:t>
      </w:r>
    </w:p>
    <w:p w14:paraId="31E2CE5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⑦充电用户管理功能；</w:t>
      </w:r>
    </w:p>
    <w:p w14:paraId="0151CF0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⑧平台数据保存1年以上，实时上传相关数据；</w:t>
      </w:r>
    </w:p>
    <w:p w14:paraId="6C7245B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⑨用户端拥有小程序和APP，具备充电导航、扫码充电、在线支付、会员体系等功能；</w:t>
      </w:r>
    </w:p>
    <w:p w14:paraId="2816156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⑩商户端拥有APP或Web版，具备设备监控、故障预警、收益分析、营销活动配置等功能；</w:t>
      </w:r>
    </w:p>
    <w:p w14:paraId="0654552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⑪支持微信/支付宝等支付方式</w:t>
      </w:r>
    </w:p>
    <w:p w14:paraId="4C674D9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⑫充电用户自助开票功能等。</w:t>
      </w:r>
    </w:p>
    <w:p w14:paraId="71097A4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2.配套运营服务，运营管理工作以实现充电站持续经营、收入稳步增长、寻找增收点为核心目标，工作内容包含：</w:t>
      </w:r>
    </w:p>
    <w:p w14:paraId="135A7E5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①定期提供电站运营情况分析报告和运营改进方案；</w:t>
      </w:r>
    </w:p>
    <w:p w14:paraId="75E9F09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②可根据运营情况，推广充电场站并配置营销活动；</w:t>
      </w:r>
    </w:p>
    <w:p w14:paraId="3D49648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③充电用户开票、财务对账等其他服务。</w:t>
      </w:r>
    </w:p>
    <w:p w14:paraId="08AA687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(2)电站线下管理服务</w:t>
      </w:r>
    </w:p>
    <w:p w14:paraId="5E66FA3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电站线下管理服务以保障充电站安全、稳定、高效运行为核心目标，通过标准化的管理体系，确保工作符合国家、地方、行业规范及标准并承担电站运营安全责任，具体要求如下：</w:t>
      </w:r>
    </w:p>
    <w:p w14:paraId="2E2575A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①现场管理：处理占位问题、维护充电站秩序、配合检查、</w:t>
      </w:r>
      <w:r>
        <w:rPr>
          <w:rFonts w:hint="eastAsia" w:ascii="仿宋" w:hAnsi="仿宋" w:eastAsia="仿宋" w:cs="仿宋"/>
          <w:sz w:val="32"/>
          <w:szCs w:val="32"/>
          <w:highlight w:val="none"/>
        </w:rPr>
        <w:t>保险理赔对接（采购人为充电站投保并支付保费）</w:t>
      </w:r>
      <w:r>
        <w:rPr>
          <w:rFonts w:hint="eastAsia" w:ascii="仿宋" w:hAnsi="仿宋" w:eastAsia="仿宋" w:cs="仿宋"/>
          <w:sz w:val="32"/>
          <w:szCs w:val="32"/>
        </w:rPr>
        <w:t>等其他关于电站现场管理工作。</w:t>
      </w:r>
    </w:p>
    <w:p w14:paraId="78EDB0F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②事故处理：建立健全事故应急处理机制，对烧车、车辆碰撞、资产损失等突发事故，须按照应急预案迅速响应、妥善处置，最大限度降低事故影响。</w:t>
      </w:r>
    </w:p>
    <w:p w14:paraId="370073B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(3)电站日常巡检服务</w:t>
      </w:r>
    </w:p>
    <w:p w14:paraId="0A00548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电站日常巡检服务需严格遵循国家、行业相关标准规范，确保充电站设备设施运行状态安全可控并承担电站运营安全责任，具体工作内容如下：</w:t>
      </w:r>
    </w:p>
    <w:p w14:paraId="1DB953E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①设备运行状态检查：全面核查充电设备、配电房、箱变、光伏系统、储能装置等核心设备的运行状况，发现并记录设备异常、损坏情况，及时处理，保障设备处于正常工作状态。</w:t>
      </w:r>
    </w:p>
    <w:p w14:paraId="4D85566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②现场综合管理巡查：对综合治理、消防设施及附属设施开展日常巡查，维持充电设施周边环境整洁有序。严禁在充电区域堆放易燃易爆物品及其他杂物，定期检查排水系统，确保排水畅通，避免积水隐患。</w:t>
      </w:r>
    </w:p>
    <w:p w14:paraId="70F924F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③故障</w:t>
      </w:r>
      <w:r>
        <w:rPr>
          <w:rFonts w:hint="eastAsia" w:ascii="仿宋" w:hAnsi="仿宋" w:eastAsia="仿宋" w:cs="仿宋"/>
          <w:sz w:val="32"/>
          <w:szCs w:val="32"/>
          <w:highlight w:val="none"/>
          <w:lang w:val="en-US" w:eastAsia="zh-CN"/>
        </w:rPr>
        <w:t>报修</w:t>
      </w:r>
      <w:r>
        <w:rPr>
          <w:rFonts w:hint="eastAsia" w:ascii="仿宋" w:hAnsi="仿宋" w:eastAsia="仿宋" w:cs="仿宋"/>
          <w:sz w:val="32"/>
          <w:szCs w:val="32"/>
          <w:highlight w:val="none"/>
        </w:rPr>
        <w:t>管理</w:t>
      </w:r>
      <w:r>
        <w:rPr>
          <w:rFonts w:hint="eastAsia" w:ascii="仿宋" w:hAnsi="仿宋" w:eastAsia="仿宋" w:cs="仿宋"/>
          <w:sz w:val="32"/>
          <w:szCs w:val="32"/>
        </w:rPr>
        <w:t>：针对场站出现的各类故障，包括但不限于充电桩无法充电、设备运行故障、用户锁枪、储能系统失效，以及照明、监控、道闸、光伏系统故障等，及时响应</w:t>
      </w:r>
      <w:r>
        <w:rPr>
          <w:rFonts w:hint="eastAsia" w:ascii="仿宋" w:hAnsi="仿宋" w:eastAsia="仿宋" w:cs="仿宋"/>
          <w:sz w:val="32"/>
          <w:szCs w:val="32"/>
          <w:lang w:eastAsia="zh-CN"/>
        </w:rPr>
        <w:t>。</w:t>
      </w:r>
    </w:p>
    <w:p w14:paraId="2CA9AC6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④制定</w:t>
      </w:r>
      <w:r>
        <w:rPr>
          <w:rFonts w:hint="eastAsia" w:ascii="仿宋" w:hAnsi="仿宋" w:eastAsia="仿宋" w:cs="仿宋"/>
          <w:sz w:val="32"/>
          <w:szCs w:val="32"/>
          <w:lang w:val="en-US" w:eastAsia="zh-CN"/>
        </w:rPr>
        <w:t>应对可能发生的极端恶劣情况</w:t>
      </w:r>
      <w:r>
        <w:rPr>
          <w:rFonts w:hint="eastAsia" w:ascii="仿宋" w:hAnsi="仿宋" w:eastAsia="仿宋" w:cs="仿宋"/>
          <w:sz w:val="32"/>
          <w:szCs w:val="32"/>
        </w:rPr>
        <w:t>应急预案（覆盖充电桩起火、储能热失控、防汛防雷等场景）。</w:t>
      </w:r>
    </w:p>
    <w:p w14:paraId="6960928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电站配套资产</w:t>
      </w:r>
      <w:r>
        <w:rPr>
          <w:rFonts w:hint="eastAsia" w:ascii="仿宋" w:hAnsi="仿宋" w:eastAsia="仿宋" w:cs="仿宋"/>
          <w:sz w:val="32"/>
          <w:szCs w:val="32"/>
          <w:lang w:val="en-US" w:eastAsia="zh-CN"/>
        </w:rPr>
        <w:t>巡检</w:t>
      </w:r>
      <w:r>
        <w:rPr>
          <w:rFonts w:hint="eastAsia" w:ascii="仿宋" w:hAnsi="仿宋" w:eastAsia="仿宋" w:cs="仿宋"/>
          <w:sz w:val="32"/>
          <w:szCs w:val="32"/>
        </w:rPr>
        <w:t>服务</w:t>
      </w:r>
      <w:r>
        <w:rPr>
          <w:rFonts w:hint="eastAsia" w:ascii="仿宋" w:hAnsi="仿宋" w:eastAsia="仿宋" w:cs="仿宋"/>
          <w:sz w:val="32"/>
          <w:szCs w:val="32"/>
          <w:lang w:eastAsia="zh-CN"/>
        </w:rPr>
        <w:t>：</w:t>
      </w:r>
      <w:r>
        <w:rPr>
          <w:rFonts w:hint="eastAsia" w:ascii="仿宋" w:hAnsi="仿宋" w:eastAsia="仿宋" w:cs="仿宋"/>
          <w:sz w:val="32"/>
          <w:szCs w:val="32"/>
        </w:rPr>
        <w:t>乙方负责咖啡车的日常巡检工作，包括但不限于外观检查、用电安全检查、设备运行状态检查等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每月至少进行一次线下巡检</w:t>
      </w:r>
      <w:r>
        <w:rPr>
          <w:rFonts w:hint="eastAsia" w:ascii="仿宋" w:hAnsi="仿宋" w:eastAsia="仿宋" w:cs="仿宋"/>
          <w:sz w:val="32"/>
          <w:szCs w:val="32"/>
        </w:rPr>
        <w:t>，并记录巡检情况。咖啡车的经营管理由甲方自行负责或委托第三方负责，乙方不参与咖啡车的经营。</w:t>
      </w:r>
    </w:p>
    <w:p w14:paraId="7B05B6F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442C3F0C">
      <w:pPr>
        <w:jc w:val="left"/>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四、实质性条款</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6"/>
        <w:gridCol w:w="4156"/>
      </w:tblGrid>
      <w:tr w14:paraId="29DA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6" w:type="dxa"/>
          </w:tcPr>
          <w:p w14:paraId="06726130">
            <w:pPr>
              <w:spacing w:after="0" w:line="240" w:lineRule="auto"/>
              <w:jc w:val="center"/>
              <w:rPr>
                <w:rFonts w:hint="eastAsia" w:ascii="仿宋" w:hAnsi="仿宋" w:eastAsia="仿宋" w:cs="仿宋"/>
                <w:sz w:val="21"/>
                <w:szCs w:val="21"/>
              </w:rPr>
            </w:pPr>
            <w:r>
              <w:rPr>
                <w:rFonts w:hint="eastAsia" w:ascii="仿宋" w:hAnsi="仿宋" w:eastAsia="仿宋" w:cs="仿宋"/>
                <w:b/>
                <w:sz w:val="21"/>
                <w:szCs w:val="21"/>
              </w:rPr>
              <w:t>序号</w:t>
            </w:r>
          </w:p>
        </w:tc>
        <w:tc>
          <w:tcPr>
            <w:tcW w:w="4156" w:type="dxa"/>
          </w:tcPr>
          <w:p w14:paraId="2DFF8806">
            <w:pPr>
              <w:spacing w:after="0" w:line="240" w:lineRule="auto"/>
              <w:jc w:val="center"/>
              <w:rPr>
                <w:rFonts w:hint="eastAsia" w:ascii="仿宋" w:hAnsi="仿宋" w:eastAsia="仿宋" w:cs="仿宋"/>
                <w:sz w:val="21"/>
                <w:szCs w:val="21"/>
              </w:rPr>
            </w:pPr>
            <w:r>
              <w:rPr>
                <w:rFonts w:hint="eastAsia" w:ascii="仿宋" w:hAnsi="仿宋" w:eastAsia="仿宋" w:cs="仿宋"/>
                <w:b/>
                <w:sz w:val="21"/>
                <w:szCs w:val="21"/>
              </w:rPr>
              <w:t>实质性条款具体内容</w:t>
            </w:r>
          </w:p>
        </w:tc>
      </w:tr>
      <w:tr w14:paraId="6A3E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6" w:type="dxa"/>
          </w:tcPr>
          <w:p w14:paraId="479EEC65">
            <w:pPr>
              <w:spacing w:after="0" w:line="240" w:lineRule="auto"/>
              <w:rPr>
                <w:rFonts w:hint="eastAsia" w:ascii="仿宋" w:hAnsi="仿宋" w:eastAsia="仿宋" w:cs="仿宋"/>
                <w:sz w:val="21"/>
                <w:szCs w:val="21"/>
              </w:rPr>
            </w:pPr>
            <w:r>
              <w:rPr>
                <w:rFonts w:hint="eastAsia" w:ascii="仿宋" w:hAnsi="仿宋" w:eastAsia="仿宋" w:cs="仿宋"/>
                <w:b w:val="0"/>
                <w:sz w:val="21"/>
                <w:szCs w:val="21"/>
              </w:rPr>
              <w:t>1</w:t>
            </w:r>
          </w:p>
        </w:tc>
        <w:tc>
          <w:tcPr>
            <w:tcW w:w="4156" w:type="dxa"/>
          </w:tcPr>
          <w:p w14:paraId="64C881D8">
            <w:pPr>
              <w:spacing w:after="0" w:line="240" w:lineRule="auto"/>
              <w:rPr>
                <w:rFonts w:hint="eastAsia" w:ascii="仿宋" w:hAnsi="仿宋" w:eastAsia="仿宋" w:cs="仿宋"/>
                <w:sz w:val="21"/>
                <w:szCs w:val="21"/>
              </w:rPr>
            </w:pPr>
            <w:r>
              <w:rPr>
                <w:rFonts w:hint="eastAsia" w:ascii="仿宋" w:hAnsi="仿宋" w:eastAsia="仿宋" w:cs="仿宋"/>
                <w:b w:val="0"/>
                <w:sz w:val="21"/>
                <w:szCs w:val="21"/>
              </w:rPr>
              <w:t>本项目需求书全部内容</w:t>
            </w:r>
          </w:p>
        </w:tc>
      </w:tr>
    </w:tbl>
    <w:p w14:paraId="44CECC8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注：上表所列内容为不可负偏离条款，负偏离将视为未实质性满足招标文件要求作投标无效处理。</w:t>
      </w:r>
    </w:p>
    <w:p w14:paraId="126B7684">
      <w:r>
        <w:br w:type="page"/>
      </w:r>
    </w:p>
    <w:p w14:paraId="52CD6058">
      <w:pPr>
        <w:keepNext/>
        <w:keepLines/>
        <w:spacing w:line="360" w:lineRule="auto"/>
        <w:jc w:val="center"/>
        <w:outlineLvl w:val="0"/>
        <w:rPr>
          <w:rFonts w:hint="eastAsia" w:ascii="仿宋_GB2312" w:hAnsi="仿宋_GB2312" w:eastAsia="仿宋_GB2312" w:cs="仿宋_GB2312"/>
          <w:b/>
          <w:bCs/>
          <w:color w:val="000000"/>
          <w:kern w:val="44"/>
          <w:sz w:val="40"/>
          <w:szCs w:val="40"/>
          <w:highlight w:val="none"/>
          <w:lang w:val="en-US" w:eastAsia="zh-CN"/>
        </w:rPr>
      </w:pPr>
      <w:bookmarkStart w:id="0" w:name="_Toc193985297"/>
      <w:r>
        <w:rPr>
          <w:rFonts w:hint="eastAsia" w:ascii="仿宋_GB2312" w:hAnsi="仿宋_GB2312" w:eastAsia="仿宋_GB2312" w:cs="仿宋_GB2312"/>
          <w:b/>
          <w:bCs/>
          <w:color w:val="000000"/>
          <w:kern w:val="44"/>
          <w:sz w:val="40"/>
          <w:szCs w:val="40"/>
          <w:highlight w:val="none"/>
          <w:lang w:val="en-US" w:eastAsia="zh-CN"/>
        </w:rPr>
        <w:t>四、合同条款及格式</w:t>
      </w:r>
      <w:bookmarkEnd w:id="0"/>
    </w:p>
    <w:p w14:paraId="5D1A3198">
      <w:pPr>
        <w:rPr>
          <w:rFonts w:hint="eastAsia" w:ascii="黑体" w:hAnsi="黑体" w:eastAsia="黑体"/>
          <w:color w:val="010101"/>
          <w:sz w:val="22"/>
          <w:highlight w:val="none"/>
        </w:rPr>
      </w:pPr>
    </w:p>
    <w:p w14:paraId="285DD862">
      <w:pPr>
        <w:jc w:val="center"/>
        <w:rPr>
          <w:rFonts w:hint="eastAsia" w:ascii="黑体" w:hAnsi="黑体" w:eastAsia="黑体"/>
          <w:b/>
          <w:bCs/>
          <w:color w:val="010101"/>
          <w:sz w:val="22"/>
          <w:highlight w:val="none"/>
          <w:u w:val="single"/>
        </w:rPr>
      </w:pPr>
      <w:r>
        <w:rPr>
          <w:rFonts w:hint="eastAsia" w:ascii="黑体" w:hAnsi="黑体" w:eastAsia="黑体"/>
          <w:b/>
          <w:bCs/>
          <w:color w:val="010101"/>
          <w:sz w:val="22"/>
          <w:highlight w:val="none"/>
          <w:u w:val="single"/>
        </w:rPr>
        <w:t>注：本合同为参考模版，具体内容以双方实际签订为准。</w:t>
      </w:r>
    </w:p>
    <w:p w14:paraId="7B876FBA">
      <w:pPr>
        <w:jc w:val="center"/>
        <w:rPr>
          <w:rFonts w:hint="eastAsia" w:ascii="黑体" w:hAnsi="黑体" w:eastAsia="黑体"/>
          <w:color w:val="010101"/>
          <w:sz w:val="22"/>
          <w:highlight w:val="none"/>
        </w:rPr>
      </w:pPr>
    </w:p>
    <w:p w14:paraId="35465936">
      <w:pPr>
        <w:kinsoku w:val="0"/>
        <w:wordWrap w:val="0"/>
        <w:spacing w:after="156"/>
        <w:ind w:left="210" w:firstLine="560"/>
        <w:jc w:val="left"/>
        <w:rPr>
          <w:rFonts w:hint="eastAsia" w:ascii="小标宋" w:hAnsi="小标宋" w:eastAsia="小标宋" w:cs="小标宋"/>
          <w:b/>
          <w:color w:val="auto"/>
          <w:sz w:val="44"/>
          <w:szCs w:val="44"/>
          <w:highlight w:val="none"/>
          <w:lang w:val="en-US" w:eastAsia="zh-CN"/>
        </w:rPr>
      </w:pPr>
      <w:r>
        <w:rPr>
          <w:rFonts w:hint="eastAsia" w:ascii="宋体" w:hAnsi="宋体" w:eastAsia="宋体" w:cs="宋体"/>
          <w:i w:val="0"/>
          <w:iCs w:val="0"/>
          <w:color w:val="auto"/>
          <w:sz w:val="28"/>
          <w:szCs w:val="28"/>
          <w:highlight w:val="none"/>
        </w:rPr>
        <w:t xml:space="preserve">                         </w:t>
      </w:r>
      <w:r>
        <w:rPr>
          <w:rFonts w:hint="eastAsia" w:ascii="宋体" w:hAnsi="宋体" w:eastAsia="宋体" w:cs="宋体"/>
          <w:i w:val="0"/>
          <w:iCs w:val="0"/>
          <w:color w:val="auto"/>
          <w:sz w:val="28"/>
          <w:szCs w:val="28"/>
          <w:highlight w:val="none"/>
          <w:lang w:val="en-US" w:eastAsia="zh-CN"/>
        </w:rPr>
        <w:t xml:space="preserve">      </w:t>
      </w:r>
      <w:r>
        <w:rPr>
          <w:rFonts w:hint="eastAsia" w:ascii="宋体" w:hAnsi="宋体" w:eastAsia="宋体" w:cs="宋体"/>
          <w:i w:val="0"/>
          <w:iCs w:val="0"/>
          <w:color w:val="auto"/>
          <w:sz w:val="28"/>
          <w:szCs w:val="28"/>
          <w:highlight w:val="none"/>
        </w:rPr>
        <w:t>合同编号：</w:t>
      </w:r>
      <w:r>
        <w:rPr>
          <w:rFonts w:hint="eastAsia" w:ascii="宋体" w:hAnsi="宋体" w:eastAsia="宋体" w:cs="宋体"/>
          <w:i w:val="0"/>
          <w:iCs w:val="0"/>
          <w:color w:val="auto"/>
          <w:sz w:val="28"/>
          <w:szCs w:val="28"/>
          <w:highlight w:val="none"/>
          <w:u w:val="single"/>
        </w:rPr>
        <w:t xml:space="preserve">             </w:t>
      </w:r>
    </w:p>
    <w:p w14:paraId="35B36ED6">
      <w:pPr>
        <w:ind w:firstLine="0"/>
        <w:jc w:val="center"/>
        <w:rPr>
          <w:rFonts w:hint="eastAsia" w:ascii="小标宋" w:hAnsi="小标宋" w:eastAsia="小标宋" w:cs="小标宋"/>
          <w:b/>
          <w:color w:val="auto"/>
          <w:sz w:val="44"/>
          <w:szCs w:val="44"/>
          <w:highlight w:val="none"/>
          <w:lang w:val="en-US" w:eastAsia="zh-CN"/>
        </w:rPr>
      </w:pPr>
      <w:r>
        <w:rPr>
          <w:rFonts w:hint="eastAsia" w:ascii="小标宋" w:hAnsi="小标宋" w:eastAsia="小标宋" w:cs="小标宋"/>
          <w:b/>
          <w:color w:val="auto"/>
          <w:sz w:val="44"/>
          <w:szCs w:val="44"/>
          <w:highlight w:val="none"/>
          <w:lang w:val="en-US" w:eastAsia="zh-CN"/>
        </w:rPr>
        <w:t>潮华光储充项目棉西超充站</w:t>
      </w:r>
    </w:p>
    <w:p w14:paraId="12F42739">
      <w:pPr>
        <w:ind w:firstLine="0"/>
        <w:jc w:val="center"/>
        <w:rPr>
          <w:rFonts w:hint="eastAsia" w:ascii="小标宋" w:hAnsi="小标宋" w:eastAsia="小标宋" w:cs="小标宋"/>
          <w:b/>
          <w:color w:val="auto"/>
          <w:sz w:val="44"/>
          <w:szCs w:val="44"/>
          <w:highlight w:val="none"/>
          <w:lang w:val="en-US" w:eastAsia="zh-CN"/>
        </w:rPr>
      </w:pPr>
      <w:r>
        <w:rPr>
          <w:rFonts w:hint="eastAsia" w:ascii="小标宋" w:hAnsi="小标宋" w:eastAsia="小标宋" w:cs="小标宋"/>
          <w:b/>
          <w:color w:val="auto"/>
          <w:sz w:val="44"/>
          <w:szCs w:val="44"/>
          <w:highlight w:val="none"/>
          <w:lang w:val="en-US" w:eastAsia="zh-CN"/>
        </w:rPr>
        <w:t>运营管理服务合作协议</w:t>
      </w:r>
    </w:p>
    <w:p w14:paraId="11DB456D">
      <w:pPr>
        <w:ind w:left="0" w:leftChars="0"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项目名称：</w:t>
      </w:r>
    </w:p>
    <w:p w14:paraId="502601AA">
      <w:pPr>
        <w:ind w:left="0" w:leftChars="0"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项目类型：服务类</w:t>
      </w:r>
    </w:p>
    <w:p w14:paraId="4A3D52A2">
      <w:pPr>
        <w:ind w:left="0" w:leftChars="0"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甲方（委托方）：</w:t>
      </w:r>
    </w:p>
    <w:p w14:paraId="77808D27">
      <w:pPr>
        <w:ind w:left="0" w:leftChars="0"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乙方（受托方）：</w:t>
      </w:r>
    </w:p>
    <w:p w14:paraId="1B09687A">
      <w:pPr>
        <w:ind w:left="0" w:leftChars="0"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w:t>
      </w:r>
    </w:p>
    <w:p w14:paraId="07EDE529">
      <w:pPr>
        <w:ind w:left="0" w:leftChars="0" w:firstLine="0" w:firstLineChars="0"/>
        <w:rPr>
          <w:rFonts w:hint="eastAsia" w:ascii="仿宋" w:hAnsi="仿宋" w:eastAsia="仿宋" w:cs="仿宋"/>
          <w:sz w:val="32"/>
          <w:szCs w:val="32"/>
          <w:highlight w:val="none"/>
        </w:rPr>
      </w:pPr>
    </w:p>
    <w:p w14:paraId="74D74F9A">
      <w:pPr>
        <w:ind w:left="0" w:leftChars="0" w:firstLine="0" w:firstLineChars="0"/>
        <w:rPr>
          <w:rFonts w:hint="eastAsia" w:ascii="仿宋" w:hAnsi="仿宋" w:eastAsia="仿宋" w:cs="仿宋"/>
          <w:sz w:val="32"/>
          <w:szCs w:val="32"/>
          <w:highlight w:val="none"/>
        </w:rPr>
      </w:pPr>
    </w:p>
    <w:p w14:paraId="55B186BA">
      <w:pPr>
        <w:ind w:left="0" w:leftChars="0" w:firstLine="0" w:firstLineChars="0"/>
        <w:rPr>
          <w:rFonts w:hint="eastAsia" w:ascii="仿宋" w:hAnsi="仿宋" w:eastAsia="仿宋" w:cs="仿宋"/>
          <w:sz w:val="32"/>
          <w:szCs w:val="32"/>
          <w:highlight w:val="none"/>
        </w:rPr>
      </w:pPr>
    </w:p>
    <w:p w14:paraId="76E180B1">
      <w:pPr>
        <w:ind w:left="0" w:leftChars="0"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 xml:space="preserve">   年    月    日</w:t>
      </w:r>
    </w:p>
    <w:p w14:paraId="296853E4">
      <w:pPr>
        <w:rPr>
          <w:rFonts w:hint="eastAsia" w:ascii="仿宋" w:hAnsi="仿宋" w:eastAsia="仿宋" w:cs="仿宋"/>
          <w:sz w:val="32"/>
          <w:szCs w:val="32"/>
          <w:highlight w:val="none"/>
        </w:rPr>
      </w:pPr>
    </w:p>
    <w:p w14:paraId="5FCEC044">
      <w:pPr>
        <w:rPr>
          <w:rFonts w:hint="eastAsia" w:ascii="仿宋" w:hAnsi="仿宋" w:eastAsia="仿宋" w:cs="仿宋"/>
          <w:sz w:val="32"/>
          <w:szCs w:val="32"/>
          <w:highlight w:val="none"/>
        </w:rPr>
      </w:pPr>
    </w:p>
    <w:p w14:paraId="3DD0FD7F">
      <w:pPr>
        <w:rPr>
          <w:rFonts w:hint="eastAsia" w:ascii="仿宋" w:hAnsi="仿宋" w:eastAsia="仿宋" w:cs="仿宋"/>
          <w:sz w:val="32"/>
          <w:szCs w:val="32"/>
          <w:highlight w:val="none"/>
        </w:rPr>
      </w:pPr>
    </w:p>
    <w:p w14:paraId="0EB11CB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鉴于：</w:t>
      </w:r>
    </w:p>
    <w:p w14:paraId="054C488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甲方拥有光储超充站资源，乙方具备充电站运营管理的专业能力，根据《中华人民共和国民法典》等相关法律法规，甲乙双方经友好协商，就棉西光储超充站运营管理服务事宜达成如下协议：</w:t>
      </w:r>
    </w:p>
    <w:p w14:paraId="1E3E4B91">
      <w:pPr>
        <w:rPr>
          <w:rFonts w:hint="eastAsia" w:ascii="仿宋" w:hAnsi="仿宋" w:eastAsia="仿宋" w:cs="仿宋"/>
          <w:sz w:val="32"/>
          <w:szCs w:val="32"/>
          <w:highlight w:val="none"/>
        </w:rPr>
      </w:pPr>
    </w:p>
    <w:p w14:paraId="365EFDC8">
      <w:pPr>
        <w:keepNext w:val="0"/>
        <w:keepLines w:val="0"/>
        <w:pageBreakBefore w:val="0"/>
        <w:widowControl/>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b/>
          <w:bCs/>
          <w:sz w:val="32"/>
          <w:szCs w:val="32"/>
          <w:highlight w:val="none"/>
        </w:rPr>
      </w:pPr>
      <w:r>
        <w:rPr>
          <w:rFonts w:hint="eastAsia" w:ascii="方正仿宋_GB2312" w:hAnsi="方正仿宋_GB2312" w:eastAsia="方正仿宋_GB2312" w:cs="方正仿宋_GB2312"/>
          <w:b/>
          <w:bCs/>
          <w:sz w:val="32"/>
          <w:szCs w:val="32"/>
          <w:highlight w:val="none"/>
        </w:rPr>
        <w:t>第一部分  协议书</w:t>
      </w:r>
    </w:p>
    <w:p w14:paraId="674A9371">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第一条 充电站概况</w:t>
      </w:r>
    </w:p>
    <w:p w14:paraId="1F51B97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1.1 项目名称：潮华光储充项目棉西超充站运营管理服务采购项目</w:t>
      </w:r>
    </w:p>
    <w:p w14:paraId="3918C4A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1.2 项目地址：汕头市潮阳区海关大楼文光车检场</w:t>
      </w:r>
    </w:p>
    <w:p w14:paraId="43DD9A9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1.3 项目规模：</w:t>
      </w:r>
    </w:p>
    <w:p w14:paraId="16AF916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（1）充电设施：配置800kVA箱变1</w:t>
      </w:r>
      <w:r>
        <w:rPr>
          <w:rFonts w:hint="eastAsia" w:ascii="仿宋" w:hAnsi="仿宋" w:eastAsia="仿宋" w:cs="仿宋"/>
          <w:sz w:val="32"/>
          <w:szCs w:val="32"/>
          <w:highlight w:val="none"/>
          <w:lang w:val="en-US" w:eastAsia="zh-CN"/>
        </w:rPr>
        <w:t>台</w:t>
      </w:r>
      <w:r>
        <w:rPr>
          <w:rFonts w:hint="eastAsia" w:ascii="仿宋" w:hAnsi="仿宋" w:eastAsia="仿宋" w:cs="仿宋"/>
          <w:sz w:val="32"/>
          <w:szCs w:val="32"/>
          <w:highlight w:val="none"/>
        </w:rPr>
        <w:t>、800kW充电堆1</w:t>
      </w:r>
      <w:r>
        <w:rPr>
          <w:rFonts w:hint="eastAsia" w:ascii="仿宋" w:hAnsi="仿宋" w:eastAsia="仿宋" w:cs="仿宋"/>
          <w:sz w:val="32"/>
          <w:szCs w:val="32"/>
          <w:highlight w:val="none"/>
          <w:lang w:eastAsia="zh-CN"/>
        </w:rPr>
        <w:t>台</w:t>
      </w:r>
      <w:r>
        <w:rPr>
          <w:rFonts w:hint="eastAsia" w:ascii="仿宋" w:hAnsi="仿宋" w:eastAsia="仿宋" w:cs="仿宋"/>
          <w:sz w:val="32"/>
          <w:szCs w:val="32"/>
          <w:highlight w:val="none"/>
        </w:rPr>
        <w:t>，共计16把充电枪，包括：</w:t>
      </w:r>
    </w:p>
    <w:p w14:paraId="6C08E29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①600A液冷超充终端1台（单枪）；</w:t>
      </w:r>
    </w:p>
    <w:p w14:paraId="6416511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②250kW快充终端7台（双枪）；</w:t>
      </w:r>
    </w:p>
    <w:p w14:paraId="270DAD3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③250kW快充终端1台（单枪）。</w:t>
      </w:r>
    </w:p>
    <w:p w14:paraId="72D0E08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（2）光伏系统：装机容量66.96kW，配置620W单晶硅光伏组件108块、60kW逆变器1台、67kW并网进线柜1台，采用“自发自用，余电上网”模式。</w:t>
      </w:r>
    </w:p>
    <w:p w14:paraId="2DF4A42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（3）储能系统：配置125kW/261kWh分布式储能柜1台。</w:t>
      </w:r>
    </w:p>
    <w:p w14:paraId="0320351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（4）配套设施：休息室1个、咖啡车1台。</w:t>
      </w:r>
    </w:p>
    <w:p w14:paraId="2167E00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1.4 项目规模以实际建设数量为准，若甲方未建成以上预估的规模，甲方不构成违约，不承担违约责任。乙方需自行考虑风险。</w:t>
      </w:r>
    </w:p>
    <w:p w14:paraId="4925C7A0">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第二条 管理服务期限</w:t>
      </w:r>
    </w:p>
    <w:p w14:paraId="3508B1E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服务期限：</w:t>
      </w:r>
      <w:r>
        <w:rPr>
          <w:rFonts w:hint="eastAsia" w:ascii="仿宋" w:hAnsi="仿宋" w:eastAsia="仿宋" w:cs="仿宋"/>
          <w:sz w:val="32"/>
          <w:szCs w:val="32"/>
          <w:highlight w:val="none"/>
          <w:u w:val="single"/>
          <w:lang w:val="en-US" w:eastAsia="zh-CN"/>
        </w:rPr>
        <w:t>1</w:t>
      </w:r>
      <w:r>
        <w:rPr>
          <w:rFonts w:hint="eastAsia" w:ascii="仿宋" w:hAnsi="仿宋" w:eastAsia="仿宋" w:cs="仿宋"/>
          <w:sz w:val="32"/>
          <w:szCs w:val="32"/>
          <w:highlight w:val="none"/>
        </w:rPr>
        <w:t>年，自____年____月____日起至____年____月____日止。</w:t>
      </w:r>
    </w:p>
    <w:p w14:paraId="3309A50F">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第三条 管理服务内容</w:t>
      </w:r>
    </w:p>
    <w:p w14:paraId="6730D13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3.1 线上服务：乙方提供充电平台及相关配套服务，具体服务内容以双方协商确定。</w:t>
      </w:r>
    </w:p>
    <w:p w14:paraId="6E87AEA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3.2 线下管理服务：乙方提供线下运营管理服务，具体服务内容及标准以双方协商确定。</w:t>
      </w:r>
    </w:p>
    <w:p w14:paraId="5F7313E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3.3 特别说明：</w:t>
      </w:r>
    </w:p>
    <w:p w14:paraId="4A9B572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（1）本合同服务范围以双方协商确定为准；</w:t>
      </w:r>
    </w:p>
    <w:p w14:paraId="5433BDE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（2）咖啡车相关事宜以双方另行约定为准；</w:t>
      </w:r>
    </w:p>
    <w:p w14:paraId="79EC2F0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（3）充电设施配置以实际建设情况为准。</w:t>
      </w:r>
    </w:p>
    <w:p w14:paraId="2B81DC31">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第四条 管理服务要求</w:t>
      </w:r>
    </w:p>
    <w:p w14:paraId="2405CD1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4.1 乙方应具备充电站运营管理的专业能力和相应资质，配备合格的管理服务人员，满足本招标文件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三、服务需求书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中第</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条</w:t>
      </w:r>
      <w:r>
        <w:rPr>
          <w:rFonts w:hint="eastAsia" w:ascii="仿宋" w:hAnsi="仿宋" w:eastAsia="仿宋" w:cs="仿宋"/>
          <w:sz w:val="32"/>
          <w:szCs w:val="32"/>
          <w:highlight w:val="none"/>
          <w:lang w:val="en-US" w:eastAsia="zh-CN"/>
        </w:rPr>
        <w:t>第1、2、3项</w:t>
      </w:r>
      <w:r>
        <w:rPr>
          <w:rFonts w:hint="eastAsia" w:ascii="仿宋" w:hAnsi="仿宋" w:eastAsia="仿宋" w:cs="仿宋"/>
          <w:sz w:val="32"/>
          <w:szCs w:val="32"/>
          <w:highlight w:val="none"/>
        </w:rPr>
        <w:t>的要求。</w:t>
      </w:r>
    </w:p>
    <w:p w14:paraId="191382E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4.2 乙方应制定运营管理制度和应急预案，满足运营管理基本要求。</w:t>
      </w:r>
    </w:p>
    <w:p w14:paraId="384ADF0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4.3 乙方应确保充电设施、光伏系统、储能系统的安全稳定运行。</w:t>
      </w:r>
    </w:p>
    <w:p w14:paraId="3491F715">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第五条 违约责任</w:t>
      </w:r>
    </w:p>
    <w:p w14:paraId="7BDF163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5.1 合同解除或终止事宜，按照相关法律法规及双方协商确定。</w:t>
      </w:r>
    </w:p>
    <w:p w14:paraId="1F60CE6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5.2 乙方擅自解除合同的，应承担相应违约责任，违约金不足</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万元的，按</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万元计算。</w:t>
      </w:r>
    </w:p>
    <w:p w14:paraId="6DAAE4F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5.3 因乙方原因在管理的充电站内发生人员重伤或死亡安全事故的，除赔偿损失外，应承担相应违约责任，违约金不足</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万元的，按</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万元计算。</w:t>
      </w:r>
    </w:p>
    <w:p w14:paraId="200099B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5.4 乙方违反本合同约定，将管理服务工作全部或部分转包或分包给任何第三人的，甲方有权解除合同，应承担相应违约责任，违约金不足</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万元的，按</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万元计算。</w:t>
      </w:r>
    </w:p>
    <w:p w14:paraId="2570DEE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5.5 乙方须按本合同要求配齐相关服务人员。如甲方发现乙方未按承诺要求配齐项目服务人员，甲方有权不支付该部分的管理服务费，且对乙方罚款</w:t>
      </w:r>
      <w:r>
        <w:rPr>
          <w:rFonts w:hint="eastAsia" w:ascii="仿宋" w:hAnsi="仿宋" w:eastAsia="仿宋" w:cs="仿宋"/>
          <w:sz w:val="32"/>
          <w:szCs w:val="32"/>
          <w:highlight w:val="none"/>
          <w:lang w:val="en-US" w:eastAsia="zh-CN"/>
        </w:rPr>
        <w:t>5000</w:t>
      </w:r>
      <w:r>
        <w:rPr>
          <w:rFonts w:hint="eastAsia" w:ascii="仿宋" w:hAnsi="仿宋" w:eastAsia="仿宋" w:cs="仿宋"/>
          <w:sz w:val="32"/>
          <w:szCs w:val="32"/>
          <w:highlight w:val="none"/>
        </w:rPr>
        <w:t>元，乙方须立即配齐。</w:t>
      </w:r>
    </w:p>
    <w:p w14:paraId="23672E5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5.6 乙方应及时对设施设备进行修复，确保正常运行。</w:t>
      </w:r>
    </w:p>
    <w:p w14:paraId="18C4CC0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5.7 乙方更换项目管理团队人员应事先告知甲方。</w:t>
      </w:r>
    </w:p>
    <w:p w14:paraId="7038B0F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5.8 违约责任及赔偿事宜按照相关法律法规执行。</w:t>
      </w:r>
    </w:p>
    <w:p w14:paraId="035CF4B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5.9 违约赔偿事宜以双方协商或相关法律法规确定。</w:t>
      </w:r>
    </w:p>
    <w:p w14:paraId="16242F2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5.10 费用扣除及异议处理事宜以双方协商确定。</w:t>
      </w:r>
    </w:p>
    <w:p w14:paraId="47E9D15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5.11 费用支付及逾期处理事宜以双方协商确定。</w:t>
      </w:r>
    </w:p>
    <w:p w14:paraId="2809A26D">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w:t>
      </w:r>
      <w:r>
        <w:rPr>
          <w:rFonts w:hint="default" w:ascii="方正仿宋_GB2312" w:hAnsi="方正仿宋_GB2312" w:eastAsia="方正仿宋_GB2312" w:cs="方正仿宋_GB2312"/>
          <w:b/>
          <w:sz w:val="32"/>
          <w:szCs w:val="32"/>
          <w:highlight w:val="none"/>
          <w:lang w:val="en-US"/>
        </w:rPr>
        <w:t>六</w:t>
      </w:r>
      <w:r>
        <w:rPr>
          <w:rFonts w:hint="eastAsia" w:ascii="方正仿宋_GB2312" w:hAnsi="方正仿宋_GB2312" w:eastAsia="方正仿宋_GB2312" w:cs="方正仿宋_GB2312"/>
          <w:b/>
          <w:sz w:val="32"/>
          <w:szCs w:val="32"/>
          <w:highlight w:val="none"/>
        </w:rPr>
        <w:t>条 保密条款</w:t>
      </w:r>
    </w:p>
    <w:p w14:paraId="146B7CC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6.1 双方应对本合同涉及的商业秘密及敏感信息承担保密义务。</w:t>
      </w:r>
    </w:p>
    <w:p w14:paraId="362C18A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6.2 未经对方同意，任何一方不得向第三方透露合同相关信息。</w:t>
      </w:r>
    </w:p>
    <w:p w14:paraId="731C712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6.3 双方应遵守国家有关安全、保密的法律法规。</w:t>
      </w:r>
    </w:p>
    <w:p w14:paraId="3D3E537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6.4 双方应确保相关人员履行保密义务。</w:t>
      </w:r>
    </w:p>
    <w:p w14:paraId="25C05007">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w:t>
      </w:r>
      <w:r>
        <w:rPr>
          <w:rFonts w:hint="default" w:ascii="方正仿宋_GB2312" w:hAnsi="方正仿宋_GB2312" w:eastAsia="方正仿宋_GB2312" w:cs="方正仿宋_GB2312"/>
          <w:b/>
          <w:sz w:val="32"/>
          <w:szCs w:val="32"/>
          <w:highlight w:val="none"/>
          <w:lang w:val="en-US"/>
        </w:rPr>
        <w:t>七</w:t>
      </w:r>
      <w:r>
        <w:rPr>
          <w:rFonts w:hint="eastAsia" w:ascii="方正仿宋_GB2312" w:hAnsi="方正仿宋_GB2312" w:eastAsia="方正仿宋_GB2312" w:cs="方正仿宋_GB2312"/>
          <w:b/>
          <w:sz w:val="32"/>
          <w:szCs w:val="32"/>
          <w:highlight w:val="none"/>
        </w:rPr>
        <w:t>条 合同的终止与解除</w:t>
      </w:r>
    </w:p>
    <w:p w14:paraId="1DC963C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本合同的解除或终止按照相关法律法规及双方协商确定：</w:t>
      </w:r>
    </w:p>
    <w:p w14:paraId="46BA709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7.1 双方协商一致可解除或终止本合同。</w:t>
      </w:r>
    </w:p>
    <w:p w14:paraId="6E7FDCA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7.2 因一方严重违约，另一方可解除本合同。</w:t>
      </w:r>
    </w:p>
    <w:p w14:paraId="74F876D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7.3 因不可抗力导致合同无法履行的，双方可协商终止本合同。</w:t>
      </w:r>
    </w:p>
    <w:p w14:paraId="051720D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7.4 管理服务期内，甲方对乙方进行考核，如考核结果为“不合格”时，达到2次或以上，甲方有权解除本合同。</w:t>
      </w:r>
    </w:p>
    <w:p w14:paraId="2B18F24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7.5 乙方违约事宜按照本合同相关约定处理。</w:t>
      </w:r>
    </w:p>
    <w:p w14:paraId="0798D99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7.6 基于公共利益或政府政策需要，甲方可解除本合同。</w:t>
      </w:r>
    </w:p>
    <w:p w14:paraId="3C0F050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7.7 因甲方原因决定停运的，双方协商处理。</w:t>
      </w:r>
    </w:p>
    <w:p w14:paraId="269D271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7.8 安全事故处理按照相关法律法规执行。</w:t>
      </w:r>
    </w:p>
    <w:p w14:paraId="397533F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7.9 其他解除或终止情形以双方协商确定。</w:t>
      </w:r>
    </w:p>
    <w:p w14:paraId="36FA4516">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w:t>
      </w:r>
      <w:r>
        <w:rPr>
          <w:rFonts w:hint="default" w:ascii="方正仿宋_GB2312" w:hAnsi="方正仿宋_GB2312" w:eastAsia="方正仿宋_GB2312" w:cs="方正仿宋_GB2312"/>
          <w:b/>
          <w:sz w:val="32"/>
          <w:szCs w:val="32"/>
          <w:highlight w:val="none"/>
          <w:lang w:val="en-US"/>
        </w:rPr>
        <w:t>八</w:t>
      </w:r>
      <w:r>
        <w:rPr>
          <w:rFonts w:hint="eastAsia" w:ascii="方正仿宋_GB2312" w:hAnsi="方正仿宋_GB2312" w:eastAsia="方正仿宋_GB2312" w:cs="方正仿宋_GB2312"/>
          <w:b/>
          <w:sz w:val="32"/>
          <w:szCs w:val="32"/>
          <w:highlight w:val="none"/>
        </w:rPr>
        <w:t>条 争议解决</w:t>
      </w:r>
    </w:p>
    <w:p w14:paraId="75B4275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双方因合同发生争议的，应友好协商解决；协商不成的，依法向有管辖权的人民法院起诉。</w:t>
      </w:r>
    </w:p>
    <w:p w14:paraId="0E9914A8">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w:t>
      </w:r>
      <w:r>
        <w:rPr>
          <w:rFonts w:hint="default" w:ascii="方正仿宋_GB2312" w:hAnsi="方正仿宋_GB2312" w:eastAsia="方正仿宋_GB2312" w:cs="方正仿宋_GB2312"/>
          <w:b/>
          <w:sz w:val="32"/>
          <w:szCs w:val="32"/>
          <w:highlight w:val="none"/>
          <w:lang w:val="en-US"/>
        </w:rPr>
        <w:t>九条</w:t>
      </w:r>
      <w:r>
        <w:rPr>
          <w:rFonts w:hint="eastAsia" w:ascii="方正仿宋_GB2312" w:hAnsi="方正仿宋_GB2312" w:eastAsia="方正仿宋_GB2312" w:cs="方正仿宋_GB2312"/>
          <w:b/>
          <w:sz w:val="32"/>
          <w:szCs w:val="32"/>
          <w:highlight w:val="none"/>
        </w:rPr>
        <w:t xml:space="preserve"> 特别约定</w:t>
      </w:r>
    </w:p>
    <w:p w14:paraId="36B71A3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9.1 甲乙双方约定收款账户：</w:t>
      </w:r>
    </w:p>
    <w:p w14:paraId="16113F9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甲乙双方收款账户信息、资金划转方式及结算流程，以甲乙双方签署的《运营管理服务合同》约定为准。</w:t>
      </w:r>
    </w:p>
    <w:p w14:paraId="462B32C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9.2 甲乙双方通讯地址如下：</w:t>
      </w:r>
    </w:p>
    <w:p w14:paraId="24D40D6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（1）甲方：____________________</w:t>
      </w:r>
    </w:p>
    <w:p w14:paraId="6B47626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（2）乙方：____________________</w:t>
      </w:r>
    </w:p>
    <w:p w14:paraId="74889BD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上述通讯地址的变更须经双方签订书面文件确认后生效。</w:t>
      </w:r>
    </w:p>
    <w:p w14:paraId="22F6E1A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9.3 通知送达事宜以双方协商确定。</w:t>
      </w:r>
    </w:p>
    <w:p w14:paraId="41DC5CE2">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w:t>
      </w:r>
      <w:r>
        <w:rPr>
          <w:rFonts w:hint="default" w:ascii="方正仿宋_GB2312" w:hAnsi="方正仿宋_GB2312" w:eastAsia="方正仿宋_GB2312" w:cs="方正仿宋_GB2312"/>
          <w:b/>
          <w:sz w:val="32"/>
          <w:szCs w:val="32"/>
          <w:highlight w:val="none"/>
          <w:lang w:val="en-US"/>
        </w:rPr>
        <w:t>十条</w:t>
      </w:r>
      <w:r>
        <w:rPr>
          <w:rFonts w:hint="eastAsia" w:ascii="方正仿宋_GB2312" w:hAnsi="方正仿宋_GB2312" w:eastAsia="方正仿宋_GB2312" w:cs="方正仿宋_GB2312"/>
          <w:b/>
          <w:sz w:val="32"/>
          <w:szCs w:val="32"/>
          <w:highlight w:val="none"/>
        </w:rPr>
        <w:t xml:space="preserve"> 其他</w:t>
      </w:r>
    </w:p>
    <w:p w14:paraId="39D42DE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10.1 组成本合同的文件及其效力：</w:t>
      </w:r>
    </w:p>
    <w:p w14:paraId="43F1080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（1）本合同书及合同履行过程中，双方签订的补充协议；</w:t>
      </w:r>
    </w:p>
    <w:p w14:paraId="157DE48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（2）本合同附件；</w:t>
      </w:r>
    </w:p>
    <w:p w14:paraId="45D71A1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（3）招标文件及附件；</w:t>
      </w:r>
    </w:p>
    <w:p w14:paraId="10C07DC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（4）投标文件及附件；</w:t>
      </w:r>
    </w:p>
    <w:p w14:paraId="3997ECB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（5）标准、规范及有关技术文件；</w:t>
      </w:r>
    </w:p>
    <w:p w14:paraId="4BFF738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（6）合同双方约定的其他文件。</w:t>
      </w:r>
    </w:p>
    <w:p w14:paraId="437D41C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以上文件互为补充，具体以双方协商确定为准。</w:t>
      </w:r>
    </w:p>
    <w:p w14:paraId="203B648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10.2 本合同未尽事宜由双方协商确定。</w:t>
      </w:r>
    </w:p>
    <w:p w14:paraId="4A0D139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10.3 本合同一式</w:t>
      </w:r>
      <w:r>
        <w:rPr>
          <w:rFonts w:hint="eastAsia" w:ascii="仿宋" w:hAnsi="仿宋" w:eastAsia="仿宋" w:cs="仿宋"/>
          <w:sz w:val="32"/>
          <w:szCs w:val="32"/>
          <w:highlight w:val="none"/>
          <w:lang w:val="en-US" w:eastAsia="zh-CN"/>
        </w:rPr>
        <w:t>肆</w:t>
      </w:r>
      <w:r>
        <w:rPr>
          <w:rFonts w:hint="eastAsia" w:ascii="仿宋" w:hAnsi="仿宋" w:eastAsia="仿宋" w:cs="仿宋"/>
          <w:sz w:val="32"/>
          <w:szCs w:val="32"/>
          <w:highlight w:val="none"/>
        </w:rPr>
        <w:t>份，甲乙双方各执</w:t>
      </w:r>
      <w:r>
        <w:rPr>
          <w:rFonts w:hint="eastAsia" w:ascii="仿宋" w:hAnsi="仿宋" w:eastAsia="仿宋" w:cs="仿宋"/>
          <w:sz w:val="32"/>
          <w:szCs w:val="32"/>
          <w:highlight w:val="none"/>
          <w:lang w:val="en-US" w:eastAsia="zh-CN"/>
        </w:rPr>
        <w:t>贰</w:t>
      </w:r>
      <w:r>
        <w:rPr>
          <w:rFonts w:hint="eastAsia" w:ascii="仿宋" w:hAnsi="仿宋" w:eastAsia="仿宋" w:cs="仿宋"/>
          <w:sz w:val="32"/>
          <w:szCs w:val="32"/>
          <w:highlight w:val="none"/>
        </w:rPr>
        <w:t>份，自双方签字盖章之日起生效。</w:t>
      </w:r>
    </w:p>
    <w:p w14:paraId="18A99DE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p>
    <w:p w14:paraId="466ADC37">
      <w:pPr>
        <w:keepNext w:val="0"/>
        <w:keepLines w:val="0"/>
        <w:pageBreakBefore w:val="0"/>
        <w:widowControl/>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A53674B">
      <w:pPr>
        <w:keepNext w:val="0"/>
        <w:keepLines w:val="0"/>
        <w:pageBreakBefore w:val="0"/>
        <w:widowControl/>
        <w:tabs>
          <w:tab w:val="left" w:pos="310"/>
        </w:tabs>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b/>
          <w:bCs/>
          <w:sz w:val="32"/>
          <w:szCs w:val="32"/>
          <w:highlight w:val="none"/>
        </w:rPr>
      </w:pPr>
      <w:r>
        <w:rPr>
          <w:rFonts w:hint="eastAsia" w:ascii="方正仿宋_GB2312" w:hAnsi="方正仿宋_GB2312" w:eastAsia="方正仿宋_GB2312" w:cs="方正仿宋_GB2312"/>
          <w:b/>
          <w:bCs/>
          <w:sz w:val="32"/>
          <w:szCs w:val="32"/>
          <w:highlight w:val="none"/>
        </w:rPr>
        <w:t>第二部分 线上服务和线下管理服务条款</w:t>
      </w:r>
    </w:p>
    <w:p w14:paraId="14D273A2">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第一条 服务范围</w:t>
      </w:r>
    </w:p>
    <w:p w14:paraId="2F8C51D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1.1 充电设施服务范围：</w:t>
      </w:r>
    </w:p>
    <w:p w14:paraId="32CE48B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（1）800kW充电堆主机1台；</w:t>
      </w:r>
    </w:p>
    <w:p w14:paraId="3B224F9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（2）600A液冷超充终端1台</w:t>
      </w:r>
      <w:r>
        <w:rPr>
          <w:rFonts w:hint="eastAsia" w:ascii="仿宋" w:hAnsi="仿宋" w:eastAsia="仿宋" w:cs="仿宋"/>
          <w:sz w:val="32"/>
          <w:szCs w:val="32"/>
          <w:highlight w:val="none"/>
          <w:lang w:val="en-US" w:eastAsia="zh-CN"/>
        </w:rPr>
        <w:t>(单枪)</w:t>
      </w:r>
      <w:r>
        <w:rPr>
          <w:rFonts w:hint="eastAsia" w:ascii="仿宋" w:hAnsi="仿宋" w:eastAsia="仿宋" w:cs="仿宋"/>
          <w:sz w:val="32"/>
          <w:szCs w:val="32"/>
          <w:highlight w:val="none"/>
        </w:rPr>
        <w:t>；</w:t>
      </w:r>
    </w:p>
    <w:p w14:paraId="2170837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（3）250kW快充终端8台（其中双枪7台、单枪1台），共计15把充电枪；</w:t>
      </w:r>
    </w:p>
    <w:p w14:paraId="221F48E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（4）配套的高低压电缆、配电柜、箱式变电站等设施设备。</w:t>
      </w:r>
    </w:p>
    <w:p w14:paraId="7073810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1.2 光伏系统服务范围：</w:t>
      </w:r>
    </w:p>
    <w:p w14:paraId="602DE2C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（1）620W单晶硅光伏组件108块；</w:t>
      </w:r>
    </w:p>
    <w:p w14:paraId="55EAFB3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（2）60kW逆变器1台；</w:t>
      </w:r>
    </w:p>
    <w:p w14:paraId="5CB4269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（3）67kW并网进线柜1台；</w:t>
      </w:r>
    </w:p>
    <w:p w14:paraId="3CF0526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（4）光伏支架、直流电缆及相关配套设施。</w:t>
      </w:r>
    </w:p>
    <w:p w14:paraId="0970AA5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1.3 储能系统服务范围：</w:t>
      </w:r>
    </w:p>
    <w:p w14:paraId="0FE2B17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（1）125kW/261kWh分布式储能柜1台；</w:t>
      </w:r>
    </w:p>
    <w:p w14:paraId="6DF61FD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（2）储能系统配套的电缆、保护装置等。</w:t>
      </w:r>
    </w:p>
    <w:p w14:paraId="253BB39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1.4 配套设施服务范围：</w:t>
      </w:r>
    </w:p>
    <w:p w14:paraId="597B648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（1）休息室1个（含空调、家具等）；</w:t>
      </w:r>
    </w:p>
    <w:p w14:paraId="2FCFECA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（2）咖啡车1台（乙方仅负责日常巡检，不负责经营管理）；</w:t>
      </w:r>
    </w:p>
    <w:p w14:paraId="45F24A8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（3）道闸系统、监控系统、照明系统等。</w:t>
      </w:r>
    </w:p>
    <w:p w14:paraId="0C571CCC">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第二条 特别约定</w:t>
      </w:r>
    </w:p>
    <w:p w14:paraId="13264EE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2.1 充电平台接入事宜以双方协商确定。</w:t>
      </w:r>
    </w:p>
    <w:p w14:paraId="3086F74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2.2 运营筹备事宜以双方协商确定。</w:t>
      </w:r>
    </w:p>
    <w:p w14:paraId="5592113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电费结算：充电电费结算方式由甲乙双方根据项目实际情况协商确定</w:t>
      </w:r>
      <w:r>
        <w:rPr>
          <w:rFonts w:hint="eastAsia" w:ascii="仿宋" w:hAnsi="仿宋" w:eastAsia="仿宋" w:cs="仿宋"/>
          <w:sz w:val="32"/>
          <w:szCs w:val="32"/>
          <w:highlight w:val="none"/>
          <w:lang w:eastAsia="zh-CN"/>
        </w:rPr>
        <w:t>，以甲乙双方签署的《运营管理服务合同》约定为准。</w:t>
      </w:r>
    </w:p>
    <w:p w14:paraId="2F5F127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 xml:space="preserve"> 服务费定价：充电服务费由甲方定价，乙方按照甲方确定的价格执行。</w:t>
      </w:r>
    </w:p>
    <w:p w14:paraId="6A703A4D">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第三条 服务费用及支付</w:t>
      </w:r>
    </w:p>
    <w:p w14:paraId="631B92C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服务费用的计算标准、支付方式、结算周期及账户设置，以甲乙双方签署的《运营管理服务合同》约定为准。</w:t>
      </w:r>
    </w:p>
    <w:p w14:paraId="6C35CBFA">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第四条 运营管理方案</w:t>
      </w:r>
    </w:p>
    <w:p w14:paraId="6A4669FA">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4.1 日常巡检与维护</w:t>
      </w:r>
    </w:p>
    <w:p w14:paraId="24DB3BF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（1）充电设施：乙方应按行业标准进行日常巡检和维护。</w:t>
      </w:r>
    </w:p>
    <w:p w14:paraId="79E0DDE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（2）光伏系统：乙方应按行业标准进行日常巡检和维护。</w:t>
      </w:r>
    </w:p>
    <w:p w14:paraId="5085CEA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（3）储能系统：乙方应按行业标准进行日常巡检和维护。</w:t>
      </w:r>
    </w:p>
    <w:p w14:paraId="7DEE6CF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（4）配套设施：乙方应按约定进行日常巡检。</w:t>
      </w:r>
    </w:p>
    <w:p w14:paraId="51B789D6">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4.2 智能调度与收益优化</w:t>
      </w:r>
    </w:p>
    <w:p w14:paraId="104D13E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（1）储能策略管理：结合当地峰谷电价政策及光伏发电预测数据，由乙方平台自动设定储能充放电策略。在光伏大发时存储绿电，在尖峰时段放电用于充电负荷，实现“谷充峰放”收益最大化。</w:t>
      </w:r>
    </w:p>
    <w:p w14:paraId="2AE445B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（2）需求侧响应：具体事宜以双方协商确定。</w:t>
      </w:r>
    </w:p>
    <w:p w14:paraId="7AE8815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（3）光伏消纳优化：由乙方根据情况进行优化。</w:t>
      </w:r>
    </w:p>
    <w:p w14:paraId="076AFDE5">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4.3 故障处理</w:t>
      </w:r>
    </w:p>
    <w:p w14:paraId="76D0976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（1）响应时效：乙方应及时响应并处理故障。</w:t>
      </w:r>
    </w:p>
    <w:p w14:paraId="63C1C52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（2）备件保障：乙方应做好备件保障工作。</w:t>
      </w:r>
    </w:p>
    <w:p w14:paraId="5136A43C">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第五条 甲方权利和义务</w:t>
      </w:r>
    </w:p>
    <w:p w14:paraId="4F99BE3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5.1 甲方权利</w:t>
      </w:r>
    </w:p>
    <w:p w14:paraId="0E5DDEB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（1）甲方有权监督乙方履行合同义务。</w:t>
      </w:r>
    </w:p>
    <w:p w14:paraId="7F3D197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（2）甲方有权对乙方工作进行监督检查。</w:t>
      </w:r>
    </w:p>
    <w:p w14:paraId="479ACDE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（3）甲方有权要求乙方纠正违约行为并赔偿损失。</w:t>
      </w:r>
    </w:p>
    <w:p w14:paraId="3B96DFB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（4）甲方有权对服务费定价。</w:t>
      </w:r>
    </w:p>
    <w:p w14:paraId="2C37773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（5）甲方享有法律法规及本合同约定的其他权利。</w:t>
      </w:r>
    </w:p>
    <w:p w14:paraId="57BE00F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5.2 甲方义务</w:t>
      </w:r>
    </w:p>
    <w:p w14:paraId="43885F7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（1）甲方应按约定移交项目。</w:t>
      </w:r>
    </w:p>
    <w:p w14:paraId="38A73F3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（2）甲方应提供运营所需资料。</w:t>
      </w:r>
    </w:p>
    <w:p w14:paraId="1623A7D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（3）甲方应按约定支付费用。</w:t>
      </w:r>
    </w:p>
    <w:p w14:paraId="676F7C4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（4）甲方应按约定购买保险。</w:t>
      </w:r>
    </w:p>
    <w:p w14:paraId="2A33153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（5）甲方应提供必要协助。</w:t>
      </w:r>
    </w:p>
    <w:p w14:paraId="2EBD864E">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第六条 乙方权利和义务</w:t>
      </w:r>
    </w:p>
    <w:p w14:paraId="1FFC01F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6.1 乙方权利</w:t>
      </w:r>
    </w:p>
    <w:p w14:paraId="6CB4F5E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（1）乙方有权要求甲方支付服务费用。</w:t>
      </w:r>
    </w:p>
    <w:p w14:paraId="6E97E2C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（2）乙方有权要求甲方提供必要资料。</w:t>
      </w:r>
    </w:p>
    <w:p w14:paraId="1D250EE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（3）乙方有权要求甲方提供必要协助。</w:t>
      </w:r>
    </w:p>
    <w:p w14:paraId="331804C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6.2 乙方义务</w:t>
      </w:r>
    </w:p>
    <w:p w14:paraId="7BF7BAA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（1）乙方应按约定履行运营管理职责。</w:t>
      </w:r>
    </w:p>
    <w:p w14:paraId="468F3DD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（2）乙方应按约定完成服务工作。</w:t>
      </w:r>
    </w:p>
    <w:p w14:paraId="31FD5CF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（3）乙方应接受甲方监督。</w:t>
      </w:r>
    </w:p>
    <w:p w14:paraId="7B074DB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（4）乙方应按要求提交相关资料。</w:t>
      </w:r>
    </w:p>
    <w:p w14:paraId="3F97679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（5）乙方应履行保密义务。</w:t>
      </w:r>
    </w:p>
    <w:p w14:paraId="621D6AE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（6）乙方应提供必要配合。</w:t>
      </w:r>
    </w:p>
    <w:p w14:paraId="26C8884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（7）乙方应履行法律法规及本合同约定的其他义务。</w:t>
      </w:r>
    </w:p>
    <w:p w14:paraId="2C0091FE">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第七条 乙方其他责任</w:t>
      </w:r>
    </w:p>
    <w:p w14:paraId="2D74453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7.1 乙方应做好安全管理和消防工作，落实安全生产责任。</w:t>
      </w:r>
    </w:p>
    <w:p w14:paraId="5DF315E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7.2 乙方应承担管理服务期间的相关责任。</w:t>
      </w:r>
    </w:p>
    <w:p w14:paraId="3089DD1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7.3 乙方应遵守法律法规，因违法或违约造成的损失由乙方承担。</w:t>
      </w:r>
    </w:p>
    <w:p w14:paraId="203A15B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7.4 赔偿事宜以双方协商或相关法律法规确定。</w:t>
      </w:r>
    </w:p>
    <w:p w14:paraId="5AB892B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7.5 未经甲方同意，乙方不得将本项目转包或分包。</w:t>
      </w:r>
    </w:p>
    <w:p w14:paraId="16BD663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7.6 因乙方管理不当导致的事故，乙方应承担相应责任。</w:t>
      </w:r>
    </w:p>
    <w:p w14:paraId="39E4467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7.7 乙方应保证充电站符合安全运营要求。</w:t>
      </w:r>
    </w:p>
    <w:p w14:paraId="2C89C45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7.8 乙方应按需配置管理所需设备，相关费用由乙方承担。</w:t>
      </w:r>
    </w:p>
    <w:p w14:paraId="55C003C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7.9 因乙方管理问题导致的处罚或损失，由乙方承担。</w:t>
      </w:r>
    </w:p>
    <w:p w14:paraId="28181CB3">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第八条 履约考核</w:t>
      </w:r>
    </w:p>
    <w:p w14:paraId="0848DFB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8.1 乙方应接受甲方履约考核，具体考核标准以双方协商确定。</w:t>
      </w:r>
    </w:p>
    <w:p w14:paraId="55C1FE2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8.2 考核周期以双方协商确定。</w:t>
      </w:r>
    </w:p>
    <w:p w14:paraId="3CB8D98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8.3 考核金设置以双方协商确定。</w:t>
      </w:r>
    </w:p>
    <w:p w14:paraId="58877A4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8.4 考核不合格情形以双方协商确定。</w:t>
      </w:r>
    </w:p>
    <w:p w14:paraId="791C707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8.5 考核结果及违约责任以双方协商确定。</w:t>
      </w:r>
    </w:p>
    <w:p w14:paraId="14C9B69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8.6 考核金支付以双方协商确定。</w:t>
      </w:r>
    </w:p>
    <w:p w14:paraId="2EB8125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（1）评定“良好”时，足额支付考核周期内的考核金；</w:t>
      </w:r>
    </w:p>
    <w:p w14:paraId="26E54F9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（2）评定“合格”时，考核周期内的考核金仅支付50%；</w:t>
      </w:r>
    </w:p>
    <w:p w14:paraId="4993066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（3）评定“不合格”时，考核周期内的不支付考核金。</w:t>
      </w:r>
    </w:p>
    <w:p w14:paraId="4CE4469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8.7 考核金扣除方式以双方协商确定。</w:t>
      </w:r>
    </w:p>
    <w:p w14:paraId="3B09AA79">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w:t>
      </w:r>
      <w:r>
        <w:rPr>
          <w:rFonts w:hint="eastAsia" w:ascii="方正仿宋_GB2312" w:hAnsi="方正仿宋_GB2312" w:eastAsia="方正仿宋_GB2312" w:cs="方正仿宋_GB2312"/>
          <w:b/>
          <w:sz w:val="32"/>
          <w:szCs w:val="32"/>
          <w:highlight w:val="none"/>
          <w:lang w:val="en-US" w:eastAsia="zh-CN"/>
        </w:rPr>
        <w:t>九</w:t>
      </w:r>
      <w:r>
        <w:rPr>
          <w:rFonts w:hint="eastAsia" w:ascii="方正仿宋_GB2312" w:hAnsi="方正仿宋_GB2312" w:eastAsia="方正仿宋_GB2312" w:cs="方正仿宋_GB2312"/>
          <w:b/>
          <w:sz w:val="32"/>
          <w:szCs w:val="32"/>
          <w:highlight w:val="none"/>
        </w:rPr>
        <w:t>条 数据保护</w:t>
      </w:r>
    </w:p>
    <w:p w14:paraId="083068C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双方应各自依法独立决定个人信息的处理目的与方式，确保已取得信息主体的必要授权，并采取相适应的技术及组织措施保护数据安全；双方应及时响应信息主体的各项权利请求，相互协助处理安全事件及合规评估，协议终止时协商数据返还或删除；任何一方违反数据保护义务或造成数据泄露、丢失等损害的，应独立承担法律责任并赔偿对方因此产生的直接损失及合理费用（不含间接利润及商誉损失），同时须自费应对第三方索赔并承担全部责任。在本协议终止时，双方可协商相关个人信息删除、返还事宜，法律法规另有规定的除外。</w:t>
      </w:r>
    </w:p>
    <w:p w14:paraId="6F97376C">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b/>
          <w:sz w:val="32"/>
          <w:szCs w:val="32"/>
          <w:highlight w:val="none"/>
        </w:rPr>
        <w:t>第</w:t>
      </w:r>
      <w:r>
        <w:rPr>
          <w:rFonts w:hint="eastAsia" w:ascii="方正仿宋_GB2312" w:hAnsi="方正仿宋_GB2312" w:eastAsia="方正仿宋_GB2312" w:cs="方正仿宋_GB2312"/>
          <w:b/>
          <w:sz w:val="32"/>
          <w:szCs w:val="32"/>
          <w:highlight w:val="none"/>
          <w:lang w:val="en-US" w:eastAsia="zh-CN"/>
        </w:rPr>
        <w:t>十</w:t>
      </w:r>
      <w:r>
        <w:rPr>
          <w:rFonts w:hint="eastAsia" w:ascii="方正仿宋_GB2312" w:hAnsi="方正仿宋_GB2312" w:eastAsia="方正仿宋_GB2312" w:cs="方正仿宋_GB2312"/>
          <w:b/>
          <w:sz w:val="32"/>
          <w:szCs w:val="32"/>
          <w:highlight w:val="none"/>
        </w:rPr>
        <w:t>条 资料管理</w:t>
      </w:r>
    </w:p>
    <w:p w14:paraId="45D6417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10.1</w:t>
      </w:r>
      <w:r>
        <w:rPr>
          <w:rFonts w:hint="eastAsia" w:ascii="仿宋" w:hAnsi="仿宋" w:eastAsia="仿宋" w:cs="仿宋"/>
          <w:b w:val="0"/>
          <w:bCs w:val="0"/>
          <w:sz w:val="32"/>
          <w:szCs w:val="32"/>
          <w:highlight w:val="none"/>
        </w:rPr>
        <w:t xml:space="preserve"> 乙方应做好运营管理台账，服务期满后按约定移交甲方。</w:t>
      </w:r>
    </w:p>
    <w:p w14:paraId="514D3972">
      <w:pPr>
        <w:bidi w:val="0"/>
        <w:ind w:firstLine="640" w:firstLineChars="200"/>
        <w:jc w:val="left"/>
        <w:rPr>
          <w:rFonts w:hint="eastAsia" w:ascii="仿宋" w:hAnsi="仿宋" w:eastAsia="仿宋" w:cs="仿宋"/>
          <w:sz w:val="32"/>
          <w:szCs w:val="32"/>
          <w:highlight w:val="none"/>
        </w:rPr>
      </w:pP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.2 相关资料所有权归属甲方，乙方应按要求移交。</w:t>
      </w:r>
    </w:p>
    <w:p w14:paraId="2780B85C">
      <w:pPr>
        <w:bidi w:val="0"/>
        <w:jc w:val="center"/>
        <w:rPr>
          <w:rFonts w:hint="eastAsia" w:ascii="仿宋" w:hAnsi="仿宋" w:eastAsia="仿宋" w:cs="仿宋"/>
          <w:sz w:val="32"/>
          <w:szCs w:val="32"/>
          <w:highlight w:val="none"/>
        </w:rPr>
      </w:pPr>
    </w:p>
    <w:p w14:paraId="78C76CF4">
      <w:pPr>
        <w:bidi w:val="0"/>
        <w:jc w:val="center"/>
        <w:rPr>
          <w:rFonts w:hint="eastAsia" w:ascii="仿宋" w:hAnsi="仿宋" w:eastAsia="仿宋" w:cs="仿宋"/>
          <w:sz w:val="32"/>
          <w:szCs w:val="32"/>
          <w:highlight w:val="none"/>
        </w:rPr>
      </w:pPr>
    </w:p>
    <w:p w14:paraId="62511704">
      <w:pPr>
        <w:bidi w:val="0"/>
        <w:jc w:val="center"/>
        <w:rPr>
          <w:rFonts w:hint="eastAsia" w:ascii="仿宋" w:hAnsi="仿宋" w:eastAsia="仿宋" w:cs="仿宋"/>
          <w:sz w:val="32"/>
          <w:szCs w:val="32"/>
          <w:highlight w:val="none"/>
        </w:rPr>
      </w:pPr>
    </w:p>
    <w:p w14:paraId="4E83979D">
      <w:pPr>
        <w:bidi w:val="0"/>
        <w:jc w:val="center"/>
        <w:rPr>
          <w:rFonts w:hint="eastAsia" w:ascii="仿宋" w:hAnsi="仿宋" w:eastAsia="仿宋" w:cs="仿宋"/>
          <w:sz w:val="32"/>
          <w:szCs w:val="32"/>
          <w:highlight w:val="none"/>
        </w:rPr>
      </w:pPr>
    </w:p>
    <w:p w14:paraId="448825C2">
      <w:pPr>
        <w:bidi w:val="0"/>
        <w:jc w:val="center"/>
        <w:rPr>
          <w:rFonts w:hint="eastAsia" w:ascii="仿宋" w:hAnsi="仿宋" w:eastAsia="仿宋" w:cs="仿宋"/>
          <w:sz w:val="32"/>
          <w:szCs w:val="32"/>
          <w:highlight w:val="none"/>
        </w:rPr>
      </w:pPr>
    </w:p>
    <w:p w14:paraId="63CA91D5">
      <w:pPr>
        <w:bidi w:val="0"/>
        <w:jc w:val="center"/>
        <w:rPr>
          <w:rFonts w:hint="eastAsia" w:ascii="仿宋" w:hAnsi="仿宋" w:eastAsia="仿宋" w:cs="仿宋"/>
          <w:sz w:val="32"/>
          <w:szCs w:val="32"/>
          <w:highlight w:val="none"/>
        </w:rPr>
      </w:pPr>
    </w:p>
    <w:p w14:paraId="7342AC8E">
      <w:pPr>
        <w:bidi w:val="0"/>
        <w:jc w:val="center"/>
        <w:rPr>
          <w:rFonts w:hint="eastAsia" w:ascii="仿宋" w:hAnsi="仿宋" w:eastAsia="仿宋" w:cs="仿宋"/>
          <w:sz w:val="32"/>
          <w:szCs w:val="32"/>
          <w:highlight w:val="none"/>
        </w:rPr>
      </w:pPr>
    </w:p>
    <w:p w14:paraId="0A62EA75">
      <w:pPr>
        <w:bidi w:val="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（以下无正文，为签章页）</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4432"/>
        <w:gridCol w:w="4432"/>
      </w:tblGrid>
      <w:tr w14:paraId="6996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15F6C69C">
            <w:pPr>
              <w:ind w:firstLine="0"/>
              <w:rPr>
                <w:rFonts w:hint="eastAsia" w:ascii="仿宋" w:hAnsi="仿宋" w:eastAsia="仿宋" w:cs="仿宋"/>
                <w:sz w:val="32"/>
                <w:szCs w:val="32"/>
                <w:highlight w:val="none"/>
              </w:rPr>
            </w:pPr>
            <w:r>
              <w:rPr>
                <w:rFonts w:hint="eastAsia" w:ascii="仿宋" w:hAnsi="仿宋" w:eastAsia="仿宋" w:cs="仿宋"/>
                <w:b/>
                <w:sz w:val="32"/>
                <w:szCs w:val="32"/>
                <w:highlight w:val="none"/>
              </w:rPr>
              <w:t>甲方（委托方）：</w:t>
            </w:r>
          </w:p>
        </w:tc>
        <w:tc>
          <w:tcPr>
            <w:tcW w:w="4500" w:type="dxa"/>
          </w:tcPr>
          <w:p w14:paraId="2D6BAABD">
            <w:pPr>
              <w:ind w:firstLine="0"/>
              <w:rPr>
                <w:rFonts w:hint="eastAsia" w:ascii="仿宋" w:hAnsi="仿宋" w:eastAsia="仿宋" w:cs="仿宋"/>
                <w:sz w:val="32"/>
                <w:szCs w:val="32"/>
                <w:highlight w:val="none"/>
              </w:rPr>
            </w:pPr>
            <w:r>
              <w:rPr>
                <w:rFonts w:hint="eastAsia" w:ascii="仿宋" w:hAnsi="仿宋" w:eastAsia="仿宋" w:cs="仿宋"/>
                <w:b/>
                <w:sz w:val="32"/>
                <w:szCs w:val="32"/>
                <w:highlight w:val="none"/>
              </w:rPr>
              <w:t>乙方（受托方）：</w:t>
            </w:r>
          </w:p>
        </w:tc>
      </w:tr>
      <w:tr w14:paraId="59FC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16C9E28A">
            <w:pPr>
              <w:ind w:firstLine="0"/>
              <w:rPr>
                <w:rFonts w:hint="eastAsia" w:ascii="仿宋" w:hAnsi="仿宋" w:eastAsia="仿宋" w:cs="仿宋"/>
                <w:sz w:val="32"/>
                <w:szCs w:val="32"/>
                <w:highlight w:val="none"/>
              </w:rPr>
            </w:pPr>
          </w:p>
        </w:tc>
        <w:tc>
          <w:tcPr>
            <w:tcW w:w="4500" w:type="dxa"/>
          </w:tcPr>
          <w:p w14:paraId="4B90E08B">
            <w:pPr>
              <w:ind w:firstLine="0"/>
              <w:rPr>
                <w:rFonts w:hint="eastAsia" w:ascii="仿宋" w:hAnsi="仿宋" w:eastAsia="仿宋" w:cs="仿宋"/>
                <w:sz w:val="32"/>
                <w:szCs w:val="32"/>
                <w:highlight w:val="none"/>
              </w:rPr>
            </w:pPr>
          </w:p>
        </w:tc>
      </w:tr>
      <w:tr w14:paraId="2F9F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468E62C8">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单位名称（盖章）：</w:t>
            </w:r>
          </w:p>
        </w:tc>
        <w:tc>
          <w:tcPr>
            <w:tcW w:w="4500" w:type="dxa"/>
          </w:tcPr>
          <w:p w14:paraId="7263E42F">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单位名称（盖章）：</w:t>
            </w:r>
          </w:p>
        </w:tc>
      </w:tr>
      <w:tr w14:paraId="42AD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1D02E549">
            <w:pPr>
              <w:ind w:firstLine="0"/>
              <w:rPr>
                <w:rFonts w:hint="eastAsia" w:ascii="仿宋" w:hAnsi="仿宋" w:eastAsia="仿宋" w:cs="仿宋"/>
                <w:sz w:val="32"/>
                <w:szCs w:val="32"/>
                <w:highlight w:val="none"/>
              </w:rPr>
            </w:pPr>
          </w:p>
        </w:tc>
        <w:tc>
          <w:tcPr>
            <w:tcW w:w="4500" w:type="dxa"/>
          </w:tcPr>
          <w:p w14:paraId="5B01305A">
            <w:pPr>
              <w:ind w:firstLine="0"/>
              <w:rPr>
                <w:rFonts w:hint="eastAsia" w:ascii="仿宋" w:hAnsi="仿宋" w:eastAsia="仿宋" w:cs="仿宋"/>
                <w:sz w:val="32"/>
                <w:szCs w:val="32"/>
                <w:highlight w:val="none"/>
              </w:rPr>
            </w:pPr>
          </w:p>
        </w:tc>
      </w:tr>
      <w:tr w14:paraId="706B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212EE9AC">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法定代表人或授权代表（签字）：</w:t>
            </w:r>
          </w:p>
        </w:tc>
        <w:tc>
          <w:tcPr>
            <w:tcW w:w="4500" w:type="dxa"/>
          </w:tcPr>
          <w:p w14:paraId="44CD5C77">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法定代表人或授权代表（签字）：</w:t>
            </w:r>
          </w:p>
        </w:tc>
      </w:tr>
      <w:tr w14:paraId="3642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7F8DC626">
            <w:pPr>
              <w:ind w:firstLine="0"/>
              <w:rPr>
                <w:rFonts w:hint="eastAsia" w:ascii="仿宋" w:hAnsi="仿宋" w:eastAsia="仿宋" w:cs="仿宋"/>
                <w:sz w:val="32"/>
                <w:szCs w:val="32"/>
                <w:highlight w:val="none"/>
              </w:rPr>
            </w:pPr>
          </w:p>
        </w:tc>
        <w:tc>
          <w:tcPr>
            <w:tcW w:w="4500" w:type="dxa"/>
          </w:tcPr>
          <w:p w14:paraId="6D90F519">
            <w:pPr>
              <w:ind w:firstLine="0"/>
              <w:rPr>
                <w:rFonts w:hint="eastAsia" w:ascii="仿宋" w:hAnsi="仿宋" w:eastAsia="仿宋" w:cs="仿宋"/>
                <w:sz w:val="32"/>
                <w:szCs w:val="32"/>
                <w:highlight w:val="none"/>
              </w:rPr>
            </w:pPr>
          </w:p>
        </w:tc>
      </w:tr>
      <w:tr w14:paraId="3DB2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09FDE6F5">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p>
        </w:tc>
        <w:tc>
          <w:tcPr>
            <w:tcW w:w="4500" w:type="dxa"/>
          </w:tcPr>
          <w:p w14:paraId="47E4509C">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p>
        </w:tc>
      </w:tr>
      <w:tr w14:paraId="519C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37509D32">
            <w:pPr>
              <w:ind w:firstLine="0"/>
              <w:rPr>
                <w:rFonts w:hint="eastAsia" w:ascii="仿宋" w:hAnsi="仿宋" w:eastAsia="仿宋" w:cs="仿宋"/>
                <w:sz w:val="32"/>
                <w:szCs w:val="32"/>
                <w:highlight w:val="none"/>
              </w:rPr>
            </w:pPr>
          </w:p>
        </w:tc>
        <w:tc>
          <w:tcPr>
            <w:tcW w:w="4500" w:type="dxa"/>
          </w:tcPr>
          <w:p w14:paraId="2D8B054C">
            <w:pPr>
              <w:ind w:firstLine="0"/>
              <w:rPr>
                <w:rFonts w:hint="eastAsia" w:ascii="仿宋" w:hAnsi="仿宋" w:eastAsia="仿宋" w:cs="仿宋"/>
                <w:sz w:val="32"/>
                <w:szCs w:val="32"/>
                <w:highlight w:val="none"/>
              </w:rPr>
            </w:pPr>
          </w:p>
        </w:tc>
      </w:tr>
      <w:tr w14:paraId="1EE1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4500" w:type="dxa"/>
          </w:tcPr>
          <w:p w14:paraId="429E4EBC">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p>
        </w:tc>
        <w:tc>
          <w:tcPr>
            <w:tcW w:w="4500" w:type="dxa"/>
          </w:tcPr>
          <w:p w14:paraId="5C1D1A04">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p>
        </w:tc>
      </w:tr>
      <w:tr w14:paraId="70F2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6C845CCA">
            <w:pPr>
              <w:ind w:firstLine="0"/>
              <w:rPr>
                <w:rFonts w:hint="eastAsia" w:ascii="仿宋" w:hAnsi="仿宋" w:eastAsia="仿宋" w:cs="仿宋"/>
                <w:sz w:val="32"/>
                <w:szCs w:val="32"/>
                <w:highlight w:val="none"/>
              </w:rPr>
            </w:pPr>
          </w:p>
        </w:tc>
        <w:tc>
          <w:tcPr>
            <w:tcW w:w="4500" w:type="dxa"/>
          </w:tcPr>
          <w:p w14:paraId="0F9D47F7">
            <w:pPr>
              <w:ind w:firstLine="0"/>
              <w:rPr>
                <w:rFonts w:hint="eastAsia" w:ascii="仿宋" w:hAnsi="仿宋" w:eastAsia="仿宋" w:cs="仿宋"/>
                <w:sz w:val="32"/>
                <w:szCs w:val="32"/>
                <w:highlight w:val="none"/>
              </w:rPr>
            </w:pPr>
          </w:p>
        </w:tc>
      </w:tr>
      <w:tr w14:paraId="03ED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31F19815">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开户银行：</w:t>
            </w:r>
          </w:p>
        </w:tc>
        <w:tc>
          <w:tcPr>
            <w:tcW w:w="4500" w:type="dxa"/>
          </w:tcPr>
          <w:p w14:paraId="66FBEBC2">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开户银行：</w:t>
            </w:r>
          </w:p>
        </w:tc>
      </w:tr>
      <w:tr w14:paraId="57C5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3E836911">
            <w:pPr>
              <w:ind w:firstLine="0"/>
              <w:rPr>
                <w:rFonts w:hint="eastAsia" w:ascii="仿宋" w:hAnsi="仿宋" w:eastAsia="仿宋" w:cs="仿宋"/>
                <w:sz w:val="32"/>
                <w:szCs w:val="32"/>
                <w:highlight w:val="none"/>
              </w:rPr>
            </w:pPr>
          </w:p>
        </w:tc>
        <w:tc>
          <w:tcPr>
            <w:tcW w:w="4500" w:type="dxa"/>
          </w:tcPr>
          <w:p w14:paraId="0B35F8A7">
            <w:pPr>
              <w:ind w:firstLine="0"/>
              <w:rPr>
                <w:rFonts w:hint="eastAsia" w:ascii="仿宋" w:hAnsi="仿宋" w:eastAsia="仿宋" w:cs="仿宋"/>
                <w:sz w:val="32"/>
                <w:szCs w:val="32"/>
                <w:highlight w:val="none"/>
              </w:rPr>
            </w:pPr>
          </w:p>
        </w:tc>
      </w:tr>
      <w:tr w14:paraId="22CB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763E3FC6">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账号：</w:t>
            </w:r>
          </w:p>
        </w:tc>
        <w:tc>
          <w:tcPr>
            <w:tcW w:w="4500" w:type="dxa"/>
          </w:tcPr>
          <w:p w14:paraId="58095EEE">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账号：</w:t>
            </w:r>
          </w:p>
        </w:tc>
      </w:tr>
      <w:tr w14:paraId="63CD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426AA3CE">
            <w:pPr>
              <w:ind w:firstLine="0"/>
              <w:rPr>
                <w:rFonts w:hint="eastAsia" w:ascii="仿宋" w:hAnsi="仿宋" w:eastAsia="仿宋" w:cs="仿宋"/>
                <w:sz w:val="32"/>
                <w:szCs w:val="32"/>
                <w:highlight w:val="none"/>
              </w:rPr>
            </w:pPr>
          </w:p>
        </w:tc>
        <w:tc>
          <w:tcPr>
            <w:tcW w:w="4500" w:type="dxa"/>
          </w:tcPr>
          <w:p w14:paraId="07E0389A">
            <w:pPr>
              <w:ind w:firstLine="0"/>
              <w:rPr>
                <w:rFonts w:hint="eastAsia" w:ascii="仿宋" w:hAnsi="仿宋" w:eastAsia="仿宋" w:cs="仿宋"/>
                <w:sz w:val="32"/>
                <w:szCs w:val="32"/>
                <w:highlight w:val="none"/>
              </w:rPr>
            </w:pPr>
          </w:p>
        </w:tc>
      </w:tr>
      <w:tr w14:paraId="34CC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00" w:hRule="atLeast"/>
        </w:trPr>
        <w:tc>
          <w:tcPr>
            <w:tcW w:w="4500" w:type="dxa"/>
          </w:tcPr>
          <w:p w14:paraId="7A5E9B5E">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日期：____年____月____日</w:t>
            </w:r>
          </w:p>
        </w:tc>
        <w:tc>
          <w:tcPr>
            <w:tcW w:w="4500" w:type="dxa"/>
          </w:tcPr>
          <w:p w14:paraId="4844B63D">
            <w:pPr>
              <w:ind w:firstLine="0"/>
              <w:rPr>
                <w:rFonts w:hint="eastAsia" w:ascii="仿宋" w:hAnsi="仿宋" w:eastAsia="仿宋" w:cs="仿宋"/>
                <w:sz w:val="32"/>
                <w:szCs w:val="32"/>
                <w:highlight w:val="none"/>
              </w:rPr>
            </w:pPr>
            <w:r>
              <w:rPr>
                <w:rFonts w:hint="eastAsia" w:ascii="仿宋" w:hAnsi="仿宋" w:eastAsia="仿宋" w:cs="仿宋"/>
                <w:sz w:val="32"/>
                <w:szCs w:val="32"/>
                <w:highlight w:val="none"/>
              </w:rPr>
              <w:t>日期：____年____月____日</w:t>
            </w:r>
          </w:p>
        </w:tc>
      </w:tr>
    </w:tbl>
    <w:p w14:paraId="1F2A097E">
      <w:pPr>
        <w:bidi w:val="0"/>
        <w:ind w:left="0" w:leftChars="0" w:firstLine="0" w:firstLineChars="0"/>
        <w:jc w:val="both"/>
        <w:rPr>
          <w:rFonts w:hint="eastAsia" w:ascii="方正仿宋_GB2312" w:hAnsi="方正仿宋_GB2312" w:eastAsia="方正仿宋_GB2312" w:cs="方正仿宋_GB2312"/>
          <w:b/>
          <w:bCs/>
          <w:sz w:val="32"/>
          <w:szCs w:val="32"/>
          <w:lang w:val="en-US" w:eastAsia="zh-CN"/>
        </w:rPr>
      </w:pPr>
    </w:p>
    <w:p w14:paraId="35711D53">
      <w:pPr>
        <w:bidi w:val="0"/>
        <w:ind w:left="0" w:leftChars="0" w:firstLine="0" w:firstLineChars="0"/>
        <w:jc w:val="both"/>
        <w:rPr>
          <w:rFonts w:hint="eastAsia" w:ascii="方正仿宋_GB2312" w:hAnsi="方正仿宋_GB2312" w:eastAsia="方正仿宋_GB2312" w:cs="方正仿宋_GB2312"/>
          <w:b/>
          <w:bCs/>
          <w:sz w:val="32"/>
          <w:szCs w:val="32"/>
          <w:lang w:val="en-US" w:eastAsia="zh-CN"/>
        </w:rPr>
      </w:pPr>
    </w:p>
    <w:p w14:paraId="4E9A9B0C">
      <w:pPr>
        <w:bidi w:val="0"/>
        <w:ind w:left="0" w:leftChars="0" w:firstLine="0" w:firstLineChars="0"/>
        <w:jc w:val="both"/>
        <w:rPr>
          <w:rFonts w:hint="eastAsia" w:ascii="方正仿宋_GB2312" w:hAnsi="方正仿宋_GB2312" w:eastAsia="方正仿宋_GB2312" w:cs="方正仿宋_GB2312"/>
          <w:b/>
          <w:bCs/>
          <w:sz w:val="32"/>
          <w:szCs w:val="32"/>
          <w:highlight w:val="red"/>
          <w:lang w:val="en-US" w:eastAsia="zh-CN"/>
        </w:rPr>
      </w:pPr>
      <w:r>
        <w:rPr>
          <w:rFonts w:hint="eastAsia" w:ascii="方正仿宋_GB2312" w:hAnsi="方正仿宋_GB2312" w:eastAsia="方正仿宋_GB2312" w:cs="方正仿宋_GB2312"/>
          <w:b/>
          <w:bCs/>
          <w:sz w:val="32"/>
          <w:szCs w:val="32"/>
          <w:lang w:val="en-US" w:eastAsia="zh-CN"/>
        </w:rPr>
        <w:t>附件1：</w:t>
      </w:r>
    </w:p>
    <w:p w14:paraId="383CA611">
      <w:pPr>
        <w:tabs>
          <w:tab w:val="left" w:pos="570"/>
          <w:tab w:val="center" w:pos="4481"/>
        </w:tabs>
        <w:bidi w:val="0"/>
        <w:jc w:val="left"/>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ab/>
      </w:r>
      <w:r>
        <w:rPr>
          <w:rFonts w:hint="eastAsia" w:ascii="方正仿宋_GB2312" w:hAnsi="方正仿宋_GB2312" w:eastAsia="方正仿宋_GB2312" w:cs="方正仿宋_GB2312"/>
          <w:b/>
          <w:bCs/>
          <w:sz w:val="32"/>
          <w:szCs w:val="32"/>
          <w:lang w:val="en-US" w:eastAsia="zh-CN"/>
        </w:rPr>
        <w:t>潮华光储充项目棉西超充站运营合同履约评价标准表</w:t>
      </w:r>
    </w:p>
    <w:p w14:paraId="21E13143">
      <w:pPr>
        <w:bidi w:val="0"/>
        <w:jc w:val="cente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（充电站运营服务）</w:t>
      </w:r>
    </w:p>
    <w:tbl>
      <w:tblPr>
        <w:tblStyle w:val="33"/>
        <w:tblW w:w="877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3352"/>
        <w:gridCol w:w="1117"/>
        <w:gridCol w:w="3192"/>
      </w:tblGrid>
      <w:tr w14:paraId="6A1F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17" w:type="dxa"/>
            <w:noWrap w:val="0"/>
            <w:vAlign w:val="center"/>
          </w:tcPr>
          <w:p w14:paraId="1E1C1BA5">
            <w:pPr>
              <w:spacing w:after="0"/>
              <w:ind w:firstLine="0" w:firstLineChars="0"/>
              <w:jc w:val="center"/>
              <w:rPr>
                <w:rFonts w:hint="eastAsia" w:ascii="宋体" w:hAnsi="宋体" w:eastAsia="宋体" w:cs="宋体"/>
                <w:b/>
                <w:sz w:val="21"/>
                <w:szCs w:val="21"/>
              </w:rPr>
            </w:pPr>
            <w:r>
              <w:rPr>
                <w:rFonts w:hint="eastAsia" w:ascii="宋体" w:hAnsi="宋体" w:eastAsia="宋体" w:cs="宋体"/>
                <w:sz w:val="21"/>
                <w:szCs w:val="21"/>
                <w:lang w:val="en-US" w:eastAsia="zh-CN"/>
              </w:rPr>
              <w:t>项目</w:t>
            </w:r>
            <w:r>
              <w:rPr>
                <w:rFonts w:hint="eastAsia" w:ascii="宋体" w:hAnsi="宋体" w:eastAsia="宋体" w:cs="宋体"/>
                <w:sz w:val="21"/>
                <w:szCs w:val="21"/>
              </w:rPr>
              <w:t>名称</w:t>
            </w:r>
          </w:p>
        </w:tc>
        <w:tc>
          <w:tcPr>
            <w:tcW w:w="3352" w:type="dxa"/>
            <w:noWrap w:val="0"/>
            <w:vAlign w:val="center"/>
          </w:tcPr>
          <w:p w14:paraId="761600CD">
            <w:pPr>
              <w:spacing w:after="0"/>
              <w:ind w:firstLine="0" w:firstLineChars="0"/>
              <w:rPr>
                <w:rFonts w:hint="eastAsia" w:ascii="宋体" w:hAnsi="宋体" w:eastAsia="宋体" w:cs="宋体"/>
                <w:b/>
                <w:sz w:val="21"/>
                <w:szCs w:val="21"/>
              </w:rPr>
            </w:pPr>
          </w:p>
        </w:tc>
        <w:tc>
          <w:tcPr>
            <w:tcW w:w="1117" w:type="dxa"/>
            <w:noWrap w:val="0"/>
            <w:vAlign w:val="center"/>
          </w:tcPr>
          <w:p w14:paraId="2A52B15E">
            <w:pPr>
              <w:spacing w:after="0"/>
              <w:ind w:firstLine="0" w:firstLineChars="0"/>
              <w:jc w:val="center"/>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委托单位</w:t>
            </w:r>
          </w:p>
        </w:tc>
        <w:tc>
          <w:tcPr>
            <w:tcW w:w="3192" w:type="dxa"/>
            <w:noWrap w:val="0"/>
            <w:vAlign w:val="center"/>
          </w:tcPr>
          <w:p w14:paraId="1BF85A39">
            <w:pPr>
              <w:spacing w:after="0"/>
              <w:ind w:firstLine="0" w:firstLineChars="0"/>
              <w:rPr>
                <w:rFonts w:hint="eastAsia" w:ascii="宋体" w:hAnsi="宋体" w:eastAsia="宋体" w:cs="宋体"/>
                <w:b/>
                <w:sz w:val="21"/>
                <w:szCs w:val="21"/>
              </w:rPr>
            </w:pPr>
          </w:p>
        </w:tc>
      </w:tr>
      <w:tr w14:paraId="05D5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17" w:type="dxa"/>
            <w:noWrap w:val="0"/>
            <w:vAlign w:val="center"/>
          </w:tcPr>
          <w:p w14:paraId="235E1622">
            <w:pPr>
              <w:spacing w:after="0"/>
              <w:ind w:firstLine="0" w:firstLineChars="0"/>
              <w:jc w:val="center"/>
              <w:rPr>
                <w:rFonts w:hint="eastAsia" w:ascii="宋体" w:hAnsi="宋体" w:eastAsia="宋体" w:cs="宋体"/>
                <w:b/>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rPr>
              <w:t>单位</w:t>
            </w:r>
          </w:p>
        </w:tc>
        <w:tc>
          <w:tcPr>
            <w:tcW w:w="3352" w:type="dxa"/>
            <w:noWrap w:val="0"/>
            <w:vAlign w:val="center"/>
          </w:tcPr>
          <w:p w14:paraId="5F99F8DD">
            <w:pPr>
              <w:spacing w:after="0"/>
              <w:ind w:firstLine="0" w:firstLineChars="0"/>
              <w:rPr>
                <w:rFonts w:hint="eastAsia" w:ascii="宋体" w:hAnsi="宋体" w:eastAsia="宋体" w:cs="宋体"/>
                <w:b/>
                <w:sz w:val="21"/>
                <w:szCs w:val="21"/>
              </w:rPr>
            </w:pPr>
          </w:p>
        </w:tc>
        <w:tc>
          <w:tcPr>
            <w:tcW w:w="1117" w:type="dxa"/>
            <w:noWrap w:val="0"/>
            <w:vAlign w:val="center"/>
          </w:tcPr>
          <w:p w14:paraId="06685F37">
            <w:pPr>
              <w:spacing w:after="0"/>
              <w:ind w:firstLine="0" w:firstLineChars="0"/>
              <w:jc w:val="center"/>
              <w:rPr>
                <w:rFonts w:hint="eastAsia" w:ascii="宋体" w:hAnsi="宋体" w:eastAsia="宋体" w:cs="宋体"/>
                <w:b/>
                <w:sz w:val="21"/>
                <w:szCs w:val="21"/>
                <w:lang w:eastAsia="zh-CN"/>
              </w:rPr>
            </w:pPr>
            <w:r>
              <w:rPr>
                <w:rFonts w:hint="eastAsia" w:ascii="宋体" w:hAnsi="宋体" w:eastAsia="宋体" w:cs="宋体"/>
                <w:sz w:val="21"/>
                <w:szCs w:val="21"/>
                <w:lang w:val="en-US" w:eastAsia="zh-CN"/>
              </w:rPr>
              <w:t>总得分</w:t>
            </w:r>
          </w:p>
        </w:tc>
        <w:tc>
          <w:tcPr>
            <w:tcW w:w="3192" w:type="dxa"/>
            <w:noWrap w:val="0"/>
            <w:vAlign w:val="center"/>
          </w:tcPr>
          <w:p w14:paraId="11AD77D4">
            <w:pPr>
              <w:spacing w:after="0"/>
              <w:ind w:firstLine="0" w:firstLineChars="0"/>
              <w:rPr>
                <w:rFonts w:hint="eastAsia" w:ascii="宋体" w:hAnsi="宋体" w:eastAsia="宋体" w:cs="宋体"/>
                <w:b/>
                <w:sz w:val="21"/>
                <w:szCs w:val="21"/>
                <w:lang w:eastAsia="zh-CN"/>
              </w:rPr>
            </w:pPr>
          </w:p>
        </w:tc>
      </w:tr>
      <w:tr w14:paraId="0D8D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7" w:type="dxa"/>
            <w:shd w:val="clear" w:color="auto" w:fill="auto"/>
            <w:noWrap w:val="0"/>
            <w:vAlign w:val="center"/>
          </w:tcPr>
          <w:p w14:paraId="77D82C7E">
            <w:pPr>
              <w:spacing w:after="0"/>
              <w:ind w:firstLine="0" w:firstLineChars="0"/>
              <w:jc w:val="cente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评价等级</w:t>
            </w:r>
          </w:p>
        </w:tc>
        <w:tc>
          <w:tcPr>
            <w:tcW w:w="3352" w:type="dxa"/>
            <w:shd w:val="clear" w:color="auto" w:fill="auto"/>
            <w:noWrap w:val="0"/>
            <w:vAlign w:val="center"/>
          </w:tcPr>
          <w:p w14:paraId="241569F2">
            <w:pPr>
              <w:spacing w:after="0"/>
              <w:ind w:firstLine="0" w:firstLineChars="0"/>
              <w:rPr>
                <w:rFonts w:hint="eastAsia" w:ascii="宋体" w:hAnsi="宋体" w:eastAsia="宋体" w:cs="宋体"/>
                <w:sz w:val="21"/>
                <w:szCs w:val="21"/>
              </w:rPr>
            </w:pPr>
            <w:r>
              <w:rPr>
                <w:rFonts w:hint="eastAsia" w:ascii="宋体" w:hAnsi="宋体" w:eastAsia="宋体" w:cs="宋体"/>
                <w:sz w:val="21"/>
                <w:szCs w:val="21"/>
              </w:rPr>
              <w:t>□ 良好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≥75分</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6DF34697">
            <w:pPr>
              <w:spacing w:after="0"/>
              <w:ind w:firstLine="0" w:firstLineChars="0"/>
              <w:rPr>
                <w:rFonts w:hint="eastAsia" w:ascii="宋体" w:hAnsi="宋体" w:eastAsia="宋体" w:cs="宋体"/>
                <w:sz w:val="21"/>
                <w:szCs w:val="21"/>
              </w:rPr>
            </w:pPr>
            <w:r>
              <w:rPr>
                <w:rFonts w:hint="eastAsia" w:ascii="宋体" w:hAnsi="宋体" w:eastAsia="宋体" w:cs="宋体"/>
                <w:sz w:val="21"/>
                <w:szCs w:val="21"/>
              </w:rPr>
              <w:t>□ 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≥60分</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47667BDA">
            <w:pPr>
              <w:spacing w:after="0"/>
              <w:ind w:firstLine="0" w:firstLineChars="0"/>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 不合格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＜60分</w:t>
            </w:r>
            <w:r>
              <w:rPr>
                <w:rFonts w:hint="eastAsia" w:ascii="宋体" w:hAnsi="宋体" w:eastAsia="宋体" w:cs="宋体"/>
                <w:sz w:val="21"/>
                <w:szCs w:val="21"/>
                <w:lang w:eastAsia="zh-CN"/>
              </w:rPr>
              <w:t>）</w:t>
            </w:r>
          </w:p>
        </w:tc>
        <w:tc>
          <w:tcPr>
            <w:tcW w:w="1117" w:type="dxa"/>
            <w:noWrap w:val="0"/>
            <w:vAlign w:val="center"/>
          </w:tcPr>
          <w:p w14:paraId="0E7A09C9">
            <w:pPr>
              <w:spacing w:after="0"/>
              <w:ind w:firstLine="0" w:firstLineChars="0"/>
              <w:jc w:val="center"/>
              <w:rPr>
                <w:rFonts w:hint="eastAsia" w:ascii="宋体" w:hAnsi="宋体" w:eastAsia="宋体" w:cs="宋体"/>
                <w:b/>
                <w:sz w:val="21"/>
                <w:szCs w:val="21"/>
              </w:rPr>
            </w:pPr>
            <w:r>
              <w:rPr>
                <w:rFonts w:hint="eastAsia" w:ascii="宋体" w:hAnsi="宋体" w:eastAsia="宋体" w:cs="宋体"/>
                <w:sz w:val="21"/>
                <w:szCs w:val="21"/>
              </w:rPr>
              <w:t>评价时间</w:t>
            </w:r>
          </w:p>
        </w:tc>
        <w:tc>
          <w:tcPr>
            <w:tcW w:w="3192" w:type="dxa"/>
            <w:noWrap w:val="0"/>
            <w:vAlign w:val="center"/>
          </w:tcPr>
          <w:p w14:paraId="7FBD149F">
            <w:pPr>
              <w:spacing w:after="0"/>
              <w:ind w:firstLine="0" w:firstLineChars="0"/>
              <w:jc w:val="center"/>
              <w:rPr>
                <w:rFonts w:hint="eastAsia" w:ascii="宋体" w:hAnsi="宋体" w:eastAsia="宋体" w:cs="宋体"/>
                <w:sz w:val="21"/>
                <w:szCs w:val="21"/>
              </w:rPr>
            </w:pPr>
            <w:r>
              <w:rPr>
                <w:rFonts w:hint="eastAsia" w:ascii="宋体" w:hAnsi="宋体" w:eastAsia="宋体" w:cs="宋体"/>
                <w:sz w:val="21"/>
                <w:szCs w:val="21"/>
              </w:rPr>
              <w:t>年   月   日</w:t>
            </w:r>
          </w:p>
          <w:p w14:paraId="1031FC66">
            <w:pPr>
              <w:spacing w:after="0"/>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（考核期XXXX年XX月XX日</w:t>
            </w:r>
          </w:p>
          <w:p w14:paraId="22F783AC">
            <w:pPr>
              <w:spacing w:after="0"/>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至XXXX年XX月XX日）</w:t>
            </w:r>
          </w:p>
        </w:tc>
      </w:tr>
    </w:tbl>
    <w:tbl>
      <w:tblPr>
        <w:tblStyle w:val="33"/>
        <w:tblpPr w:leftFromText="180" w:rightFromText="180" w:vertAnchor="text" w:horzAnchor="page" w:tblpX="1525" w:tblpY="506"/>
        <w:tblOverlap w:val="never"/>
        <w:tblW w:w="8777" w:type="dxa"/>
        <w:tblInd w:w="0" w:type="dxa"/>
        <w:shd w:val="clear" w:color="auto" w:fill="auto"/>
        <w:tblLayout w:type="fixed"/>
        <w:tblCellMar>
          <w:top w:w="0" w:type="dxa"/>
          <w:left w:w="108" w:type="dxa"/>
          <w:bottom w:w="0" w:type="dxa"/>
          <w:right w:w="108" w:type="dxa"/>
        </w:tblCellMar>
      </w:tblPr>
      <w:tblGrid>
        <w:gridCol w:w="716"/>
        <w:gridCol w:w="1433"/>
        <w:gridCol w:w="716"/>
        <w:gridCol w:w="4837"/>
        <w:gridCol w:w="1075"/>
      </w:tblGrid>
      <w:tr w14:paraId="044ED667">
        <w:tblPrEx>
          <w:tblCellMar>
            <w:top w:w="0" w:type="dxa"/>
            <w:left w:w="108" w:type="dxa"/>
            <w:bottom w:w="0" w:type="dxa"/>
            <w:right w:w="108" w:type="dxa"/>
          </w:tblCellMar>
        </w:tblPrEx>
        <w:trPr>
          <w:trHeight w:val="323" w:hRule="atLeast"/>
        </w:trPr>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489B8">
            <w:pPr>
              <w:widowControl/>
              <w:spacing w:after="0"/>
              <w:ind w:firstLine="0" w:firstLineChars="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433" w:type="dxa"/>
            <w:tcBorders>
              <w:top w:val="single" w:color="auto" w:sz="4" w:space="0"/>
              <w:left w:val="nil"/>
              <w:bottom w:val="single" w:color="auto" w:sz="4" w:space="0"/>
              <w:right w:val="single" w:color="auto" w:sz="4" w:space="0"/>
            </w:tcBorders>
            <w:shd w:val="clear" w:color="auto" w:fill="auto"/>
            <w:noWrap w:val="0"/>
            <w:vAlign w:val="center"/>
          </w:tcPr>
          <w:p w14:paraId="6CA1DB9B">
            <w:pPr>
              <w:widowControl/>
              <w:spacing w:after="0"/>
              <w:ind w:firstLine="0" w:firstLineChars="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分项内容</w:t>
            </w:r>
          </w:p>
        </w:tc>
        <w:tc>
          <w:tcPr>
            <w:tcW w:w="716" w:type="dxa"/>
            <w:tcBorders>
              <w:top w:val="single" w:color="auto" w:sz="4" w:space="0"/>
              <w:left w:val="nil"/>
              <w:bottom w:val="single" w:color="auto" w:sz="4" w:space="0"/>
              <w:right w:val="single" w:color="auto" w:sz="4" w:space="0"/>
            </w:tcBorders>
            <w:shd w:val="clear" w:color="auto" w:fill="auto"/>
            <w:noWrap w:val="0"/>
            <w:vAlign w:val="center"/>
          </w:tcPr>
          <w:p w14:paraId="5B8CACC1">
            <w:pPr>
              <w:widowControl/>
              <w:spacing w:after="0"/>
              <w:ind w:firstLine="0" w:firstLineChars="0"/>
              <w:jc w:val="center"/>
              <w:rPr>
                <w:rFonts w:hint="eastAsia" w:ascii="宋体" w:hAnsi="宋体" w:eastAsia="宋体" w:cs="宋体"/>
                <w:b/>
                <w:bCs/>
                <w:color w:val="000000"/>
                <w:spacing w:val="-10"/>
                <w:kern w:val="0"/>
                <w:sz w:val="21"/>
                <w:szCs w:val="21"/>
              </w:rPr>
            </w:pPr>
            <w:r>
              <w:rPr>
                <w:rFonts w:hint="eastAsia" w:ascii="宋体" w:hAnsi="宋体" w:eastAsia="宋体" w:cs="宋体"/>
                <w:b/>
                <w:bCs/>
                <w:color w:val="000000"/>
                <w:spacing w:val="-10"/>
                <w:kern w:val="0"/>
                <w:sz w:val="21"/>
                <w:szCs w:val="21"/>
              </w:rPr>
              <w:t>满分值</w:t>
            </w:r>
          </w:p>
        </w:tc>
        <w:tc>
          <w:tcPr>
            <w:tcW w:w="4837" w:type="dxa"/>
            <w:tcBorders>
              <w:top w:val="single" w:color="auto" w:sz="4" w:space="0"/>
              <w:left w:val="nil"/>
              <w:bottom w:val="single" w:color="auto" w:sz="4" w:space="0"/>
              <w:right w:val="single" w:color="auto" w:sz="4" w:space="0"/>
            </w:tcBorders>
            <w:shd w:val="clear" w:color="auto" w:fill="auto"/>
            <w:noWrap w:val="0"/>
            <w:vAlign w:val="center"/>
          </w:tcPr>
          <w:p w14:paraId="551946F4">
            <w:pPr>
              <w:widowControl/>
              <w:spacing w:after="0"/>
              <w:ind w:firstLine="0" w:firstLineChars="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评价指标</w:t>
            </w:r>
          </w:p>
        </w:tc>
        <w:tc>
          <w:tcPr>
            <w:tcW w:w="1075" w:type="dxa"/>
            <w:tcBorders>
              <w:top w:val="single" w:color="auto" w:sz="4" w:space="0"/>
              <w:left w:val="nil"/>
              <w:bottom w:val="single" w:color="auto" w:sz="4" w:space="0"/>
              <w:right w:val="single" w:color="auto" w:sz="4" w:space="0"/>
            </w:tcBorders>
            <w:shd w:val="clear" w:color="auto" w:fill="auto"/>
            <w:noWrap w:val="0"/>
            <w:vAlign w:val="center"/>
          </w:tcPr>
          <w:p w14:paraId="2F27C379">
            <w:pPr>
              <w:widowControl/>
              <w:spacing w:after="0"/>
              <w:ind w:firstLine="0" w:firstLineChars="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得分</w:t>
            </w:r>
          </w:p>
        </w:tc>
      </w:tr>
      <w:tr w14:paraId="0CA6009A">
        <w:tblPrEx>
          <w:tblCellMar>
            <w:top w:w="0" w:type="dxa"/>
            <w:left w:w="108" w:type="dxa"/>
            <w:bottom w:w="0" w:type="dxa"/>
            <w:right w:w="108" w:type="dxa"/>
          </w:tblCellMar>
        </w:tblPrEx>
        <w:trPr>
          <w:trHeight w:val="323" w:hRule="atLeast"/>
        </w:trPr>
        <w:tc>
          <w:tcPr>
            <w:tcW w:w="716" w:type="dxa"/>
            <w:tcBorders>
              <w:top w:val="nil"/>
              <w:left w:val="single" w:color="auto" w:sz="4" w:space="0"/>
              <w:bottom w:val="single" w:color="auto" w:sz="4" w:space="0"/>
              <w:right w:val="single" w:color="auto" w:sz="4" w:space="0"/>
            </w:tcBorders>
            <w:shd w:val="clear" w:color="auto" w:fill="auto"/>
            <w:noWrap w:val="0"/>
            <w:vAlign w:val="center"/>
          </w:tcPr>
          <w:p w14:paraId="094699D0">
            <w:pPr>
              <w:widowControl/>
              <w:spacing w:after="0"/>
              <w:ind w:firstLine="0" w:firstLineChars="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一</w:t>
            </w:r>
          </w:p>
        </w:tc>
        <w:tc>
          <w:tcPr>
            <w:tcW w:w="1433" w:type="dxa"/>
            <w:tcBorders>
              <w:top w:val="nil"/>
              <w:left w:val="nil"/>
              <w:bottom w:val="single" w:color="auto" w:sz="4" w:space="0"/>
              <w:right w:val="single" w:color="auto" w:sz="4" w:space="0"/>
            </w:tcBorders>
            <w:shd w:val="clear" w:color="auto" w:fill="auto"/>
            <w:noWrap w:val="0"/>
            <w:vAlign w:val="center"/>
          </w:tcPr>
          <w:p w14:paraId="749CD606">
            <w:pPr>
              <w:widowControl/>
              <w:spacing w:after="0"/>
              <w:ind w:firstLine="0" w:firstLineChars="0"/>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充电设备管理</w:t>
            </w:r>
          </w:p>
        </w:tc>
        <w:tc>
          <w:tcPr>
            <w:tcW w:w="716" w:type="dxa"/>
            <w:tcBorders>
              <w:top w:val="nil"/>
              <w:left w:val="nil"/>
              <w:bottom w:val="single" w:color="auto" w:sz="4" w:space="0"/>
              <w:right w:val="single" w:color="auto" w:sz="4" w:space="0"/>
            </w:tcBorders>
            <w:shd w:val="clear" w:color="auto" w:fill="auto"/>
            <w:noWrap w:val="0"/>
            <w:vAlign w:val="center"/>
          </w:tcPr>
          <w:p w14:paraId="59C97991">
            <w:pPr>
              <w:widowControl/>
              <w:spacing w:after="0"/>
              <w:ind w:firstLine="0" w:firstLineChars="0"/>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15</w:t>
            </w:r>
          </w:p>
        </w:tc>
        <w:tc>
          <w:tcPr>
            <w:tcW w:w="4837" w:type="dxa"/>
            <w:tcBorders>
              <w:top w:val="nil"/>
              <w:left w:val="nil"/>
              <w:bottom w:val="single" w:color="auto" w:sz="4" w:space="0"/>
              <w:right w:val="single" w:color="auto" w:sz="4" w:space="0"/>
            </w:tcBorders>
            <w:shd w:val="clear" w:color="auto" w:fill="auto"/>
            <w:noWrap w:val="0"/>
            <w:vAlign w:val="center"/>
          </w:tcPr>
          <w:p w14:paraId="24C9AA35">
            <w:pPr>
              <w:widowControl/>
              <w:spacing w:after="0"/>
              <w:ind w:firstLine="0" w:firstLineChars="0"/>
              <w:rPr>
                <w:rFonts w:hint="eastAsia" w:ascii="宋体" w:hAnsi="宋体" w:eastAsia="宋体" w:cs="宋体"/>
                <w:b/>
                <w:bCs/>
                <w:color w:val="000000"/>
                <w:kern w:val="0"/>
                <w:sz w:val="21"/>
                <w:szCs w:val="21"/>
              </w:rPr>
            </w:pPr>
          </w:p>
        </w:tc>
        <w:tc>
          <w:tcPr>
            <w:tcW w:w="1075" w:type="dxa"/>
            <w:tcBorders>
              <w:top w:val="nil"/>
              <w:left w:val="nil"/>
              <w:bottom w:val="single" w:color="auto" w:sz="4" w:space="0"/>
              <w:right w:val="single" w:color="auto" w:sz="4" w:space="0"/>
            </w:tcBorders>
            <w:shd w:val="clear" w:color="auto" w:fill="auto"/>
            <w:noWrap w:val="0"/>
            <w:vAlign w:val="center"/>
          </w:tcPr>
          <w:p w14:paraId="23277122">
            <w:pPr>
              <w:spacing w:after="0"/>
              <w:ind w:firstLine="0" w:firstLineChars="0"/>
              <w:jc w:val="center"/>
              <w:rPr>
                <w:rFonts w:hint="eastAsia" w:ascii="宋体" w:hAnsi="宋体" w:eastAsia="宋体" w:cs="宋体"/>
                <w:sz w:val="21"/>
                <w:szCs w:val="21"/>
              </w:rPr>
            </w:pPr>
          </w:p>
        </w:tc>
      </w:tr>
      <w:tr w14:paraId="392E91E4">
        <w:tblPrEx>
          <w:shd w:val="clear" w:color="auto" w:fill="auto"/>
          <w:tblCellMar>
            <w:top w:w="0" w:type="dxa"/>
            <w:left w:w="108" w:type="dxa"/>
            <w:bottom w:w="0" w:type="dxa"/>
            <w:right w:w="108" w:type="dxa"/>
          </w:tblCellMar>
        </w:tblPrEx>
        <w:trPr>
          <w:trHeight w:val="145" w:hRule="atLeast"/>
        </w:trPr>
        <w:tc>
          <w:tcPr>
            <w:tcW w:w="716" w:type="dxa"/>
            <w:tcBorders>
              <w:top w:val="nil"/>
              <w:left w:val="single" w:color="auto" w:sz="4" w:space="0"/>
              <w:bottom w:val="single" w:color="auto" w:sz="4" w:space="0"/>
              <w:right w:val="single" w:color="auto" w:sz="4" w:space="0"/>
            </w:tcBorders>
            <w:shd w:val="clear" w:color="auto" w:fill="auto"/>
            <w:noWrap w:val="0"/>
            <w:vAlign w:val="center"/>
          </w:tcPr>
          <w:p w14:paraId="2B788C04">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433" w:type="dxa"/>
            <w:tcBorders>
              <w:top w:val="nil"/>
              <w:left w:val="single" w:color="auto" w:sz="4" w:space="0"/>
              <w:bottom w:val="single" w:color="000000" w:sz="4" w:space="0"/>
              <w:right w:val="single" w:color="auto" w:sz="4" w:space="0"/>
            </w:tcBorders>
            <w:shd w:val="clear" w:color="auto" w:fill="auto"/>
            <w:noWrap w:val="0"/>
            <w:vAlign w:val="center"/>
          </w:tcPr>
          <w:p w14:paraId="6AFF69B4">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设备可用率</w:t>
            </w:r>
          </w:p>
        </w:tc>
        <w:tc>
          <w:tcPr>
            <w:tcW w:w="716" w:type="dxa"/>
            <w:tcBorders>
              <w:top w:val="nil"/>
              <w:left w:val="single" w:color="auto" w:sz="4" w:space="0"/>
              <w:bottom w:val="single" w:color="000000" w:sz="4" w:space="0"/>
              <w:right w:val="single" w:color="auto" w:sz="4" w:space="0"/>
            </w:tcBorders>
            <w:shd w:val="clear" w:color="auto" w:fill="auto"/>
            <w:noWrap w:val="0"/>
            <w:vAlign w:val="center"/>
          </w:tcPr>
          <w:p w14:paraId="209599A8">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4837" w:type="dxa"/>
            <w:tcBorders>
              <w:top w:val="nil"/>
              <w:left w:val="nil"/>
              <w:bottom w:val="single" w:color="auto" w:sz="4" w:space="0"/>
              <w:right w:val="single" w:color="auto" w:sz="4" w:space="0"/>
            </w:tcBorders>
            <w:shd w:val="clear" w:color="auto" w:fill="auto"/>
            <w:noWrap w:val="0"/>
            <w:vAlign w:val="center"/>
          </w:tcPr>
          <w:p w14:paraId="582FF248">
            <w:pPr>
              <w:widowControl/>
              <w:spacing w:after="0" w:line="360" w:lineRule="auto"/>
              <w:ind w:firstLine="0" w:firstLineChars="0"/>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场站可用枪数与总枪数之比。</w:t>
            </w:r>
          </w:p>
          <w:p w14:paraId="0B372D5E">
            <w:pPr>
              <w:widowControl/>
              <w:spacing w:after="0" w:line="360" w:lineRule="auto"/>
              <w:ind w:firstLine="0" w:firstLineChars="0"/>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设备可用率98%以上，得满分；</w:t>
            </w:r>
          </w:p>
          <w:p w14:paraId="43B9B601">
            <w:pPr>
              <w:widowControl/>
              <w:spacing w:after="0" w:line="360" w:lineRule="auto"/>
              <w:ind w:firstLine="0" w:firstLineChars="0"/>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可用率每减少1%，扣一分，该项分数扣完为止。</w:t>
            </w:r>
          </w:p>
        </w:tc>
        <w:tc>
          <w:tcPr>
            <w:tcW w:w="1075" w:type="dxa"/>
            <w:tcBorders>
              <w:top w:val="nil"/>
              <w:left w:val="nil"/>
              <w:bottom w:val="single" w:color="auto" w:sz="4" w:space="0"/>
              <w:right w:val="single" w:color="auto" w:sz="4" w:space="0"/>
            </w:tcBorders>
            <w:shd w:val="clear" w:color="auto" w:fill="auto"/>
            <w:noWrap w:val="0"/>
            <w:vAlign w:val="center"/>
          </w:tcPr>
          <w:p w14:paraId="7DABDBBF">
            <w:pPr>
              <w:widowControl/>
              <w:spacing w:after="0" w:line="360" w:lineRule="auto"/>
              <w:ind w:firstLine="0" w:firstLineChars="0"/>
              <w:jc w:val="center"/>
              <w:rPr>
                <w:rFonts w:hint="eastAsia" w:ascii="宋体" w:hAnsi="宋体" w:eastAsia="宋体" w:cs="宋体"/>
                <w:color w:val="000000"/>
                <w:kern w:val="0"/>
                <w:sz w:val="21"/>
                <w:szCs w:val="21"/>
                <w:lang w:val="en-US" w:eastAsia="zh-CN"/>
              </w:rPr>
            </w:pPr>
          </w:p>
        </w:tc>
      </w:tr>
      <w:tr w14:paraId="297E0A5A">
        <w:tblPrEx>
          <w:tblCellMar>
            <w:top w:w="0" w:type="dxa"/>
            <w:left w:w="108" w:type="dxa"/>
            <w:bottom w:w="0" w:type="dxa"/>
            <w:right w:w="108" w:type="dxa"/>
          </w:tblCellMar>
        </w:tblPrEx>
        <w:trPr>
          <w:trHeight w:val="90" w:hRule="atLeast"/>
        </w:trPr>
        <w:tc>
          <w:tcPr>
            <w:tcW w:w="716" w:type="dxa"/>
            <w:tcBorders>
              <w:top w:val="nil"/>
              <w:left w:val="single" w:color="auto" w:sz="4" w:space="0"/>
              <w:bottom w:val="single" w:color="auto" w:sz="4" w:space="0"/>
              <w:right w:val="single" w:color="auto" w:sz="4" w:space="0"/>
            </w:tcBorders>
            <w:shd w:val="clear" w:color="auto" w:fill="auto"/>
            <w:noWrap w:val="0"/>
            <w:vAlign w:val="center"/>
          </w:tcPr>
          <w:p w14:paraId="3679B45D">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433" w:type="dxa"/>
            <w:tcBorders>
              <w:top w:val="nil"/>
              <w:left w:val="single" w:color="auto" w:sz="4" w:space="0"/>
              <w:bottom w:val="single" w:color="000000" w:sz="4" w:space="0"/>
              <w:right w:val="single" w:color="auto" w:sz="4" w:space="0"/>
            </w:tcBorders>
            <w:shd w:val="clear" w:color="auto" w:fill="auto"/>
            <w:noWrap w:val="0"/>
            <w:vAlign w:val="center"/>
          </w:tcPr>
          <w:p w14:paraId="692C231A">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充电异常率</w:t>
            </w:r>
          </w:p>
        </w:tc>
        <w:tc>
          <w:tcPr>
            <w:tcW w:w="716" w:type="dxa"/>
            <w:tcBorders>
              <w:top w:val="nil"/>
              <w:left w:val="single" w:color="auto" w:sz="4" w:space="0"/>
              <w:bottom w:val="single" w:color="000000" w:sz="4" w:space="0"/>
              <w:right w:val="single" w:color="auto" w:sz="4" w:space="0"/>
            </w:tcBorders>
            <w:shd w:val="clear" w:color="auto" w:fill="auto"/>
            <w:noWrap w:val="0"/>
            <w:vAlign w:val="center"/>
          </w:tcPr>
          <w:p w14:paraId="1B84C1BF">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4837" w:type="dxa"/>
            <w:tcBorders>
              <w:top w:val="nil"/>
              <w:left w:val="nil"/>
              <w:bottom w:val="single" w:color="auto" w:sz="4" w:space="0"/>
              <w:right w:val="single" w:color="auto" w:sz="4" w:space="0"/>
            </w:tcBorders>
            <w:shd w:val="clear" w:color="auto" w:fill="auto"/>
            <w:noWrap w:val="0"/>
            <w:vAlign w:val="center"/>
          </w:tcPr>
          <w:p w14:paraId="119B5A5D">
            <w:pPr>
              <w:widowControl/>
              <w:spacing w:after="0" w:line="360" w:lineRule="auto"/>
              <w:ind w:firstLine="0" w:firstLineChars="0"/>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实际异常充电订单与全量充电订单之比。</w:t>
            </w:r>
          </w:p>
          <w:p w14:paraId="70E256F3">
            <w:pPr>
              <w:widowControl/>
              <w:spacing w:after="0" w:line="360" w:lineRule="auto"/>
              <w:ind w:firstLine="0" w:firstLineChars="0"/>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设备异常率2%以内，得满分；</w:t>
            </w:r>
          </w:p>
          <w:p w14:paraId="4547E74B">
            <w:pPr>
              <w:widowControl/>
              <w:spacing w:after="0" w:line="360" w:lineRule="auto"/>
              <w:ind w:firstLine="0" w:firstLineChars="0"/>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异常率每增加1%，扣一分，该项分数扣完为止。</w:t>
            </w:r>
          </w:p>
        </w:tc>
        <w:tc>
          <w:tcPr>
            <w:tcW w:w="1075" w:type="dxa"/>
            <w:tcBorders>
              <w:top w:val="nil"/>
              <w:left w:val="nil"/>
              <w:bottom w:val="single" w:color="auto" w:sz="4" w:space="0"/>
              <w:right w:val="single" w:color="auto" w:sz="4" w:space="0"/>
            </w:tcBorders>
            <w:shd w:val="clear" w:color="auto" w:fill="auto"/>
            <w:noWrap w:val="0"/>
            <w:vAlign w:val="center"/>
          </w:tcPr>
          <w:p w14:paraId="5D019B79">
            <w:pPr>
              <w:widowControl/>
              <w:spacing w:after="0" w:line="360" w:lineRule="auto"/>
              <w:ind w:firstLine="0" w:firstLineChars="0"/>
              <w:jc w:val="center"/>
              <w:rPr>
                <w:rFonts w:hint="eastAsia" w:ascii="宋体" w:hAnsi="宋体" w:eastAsia="宋体" w:cs="宋体"/>
                <w:color w:val="000000"/>
                <w:kern w:val="0"/>
                <w:sz w:val="21"/>
                <w:szCs w:val="21"/>
                <w:lang w:val="en-US" w:eastAsia="zh-CN"/>
              </w:rPr>
            </w:pPr>
          </w:p>
        </w:tc>
      </w:tr>
      <w:tr w14:paraId="326ACC29">
        <w:tblPrEx>
          <w:tblCellMar>
            <w:top w:w="0" w:type="dxa"/>
            <w:left w:w="108" w:type="dxa"/>
            <w:bottom w:w="0" w:type="dxa"/>
            <w:right w:w="108" w:type="dxa"/>
          </w:tblCellMar>
        </w:tblPrEx>
        <w:trPr>
          <w:trHeight w:val="90" w:hRule="atLeast"/>
        </w:trPr>
        <w:tc>
          <w:tcPr>
            <w:tcW w:w="716" w:type="dxa"/>
            <w:tcBorders>
              <w:top w:val="nil"/>
              <w:left w:val="single" w:color="auto" w:sz="4" w:space="0"/>
              <w:bottom w:val="single" w:color="auto" w:sz="4" w:space="0"/>
              <w:right w:val="single" w:color="auto" w:sz="4" w:space="0"/>
            </w:tcBorders>
            <w:shd w:val="clear" w:color="auto" w:fill="auto"/>
            <w:noWrap w:val="0"/>
            <w:vAlign w:val="center"/>
          </w:tcPr>
          <w:p w14:paraId="08DE28C5">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433" w:type="dxa"/>
            <w:tcBorders>
              <w:top w:val="nil"/>
              <w:left w:val="single" w:color="auto" w:sz="4" w:space="0"/>
              <w:bottom w:val="single" w:color="000000" w:sz="4" w:space="0"/>
              <w:right w:val="single" w:color="auto" w:sz="4" w:space="0"/>
            </w:tcBorders>
            <w:shd w:val="clear" w:color="auto" w:fill="auto"/>
            <w:noWrap w:val="0"/>
            <w:vAlign w:val="center"/>
          </w:tcPr>
          <w:p w14:paraId="7C8BAA64">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需求功率满足率</w:t>
            </w:r>
          </w:p>
        </w:tc>
        <w:tc>
          <w:tcPr>
            <w:tcW w:w="716" w:type="dxa"/>
            <w:tcBorders>
              <w:top w:val="nil"/>
              <w:left w:val="single" w:color="auto" w:sz="4" w:space="0"/>
              <w:bottom w:val="single" w:color="000000" w:sz="4" w:space="0"/>
              <w:right w:val="single" w:color="auto" w:sz="4" w:space="0"/>
            </w:tcBorders>
            <w:shd w:val="clear" w:color="auto" w:fill="auto"/>
            <w:noWrap w:val="0"/>
            <w:vAlign w:val="center"/>
          </w:tcPr>
          <w:p w14:paraId="61905F54">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4837" w:type="dxa"/>
            <w:tcBorders>
              <w:top w:val="nil"/>
              <w:left w:val="nil"/>
              <w:bottom w:val="single" w:color="auto" w:sz="4" w:space="0"/>
              <w:right w:val="single" w:color="auto" w:sz="4" w:space="0"/>
            </w:tcBorders>
            <w:shd w:val="clear" w:color="auto" w:fill="auto"/>
            <w:noWrap w:val="0"/>
            <w:vAlign w:val="center"/>
          </w:tcPr>
          <w:p w14:paraId="4C020EC7">
            <w:pPr>
              <w:widowControl/>
              <w:spacing w:after="0" w:line="360" w:lineRule="auto"/>
              <w:ind w:firstLine="0" w:firstLineChars="0"/>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实际充电电流与车辆所需电流之比，该项与充电设备和场站电力容量存在一定关系，但故障未及时报修也会导致满足率下降。</w:t>
            </w:r>
          </w:p>
          <w:p w14:paraId="1322B9FF">
            <w:pPr>
              <w:widowControl/>
              <w:spacing w:after="0" w:line="360" w:lineRule="auto"/>
              <w:ind w:firstLine="0" w:firstLineChars="0"/>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功率满足率95%以上，得满分；</w:t>
            </w:r>
          </w:p>
          <w:p w14:paraId="2080E123">
            <w:pPr>
              <w:widowControl/>
              <w:spacing w:after="0" w:line="360" w:lineRule="auto"/>
              <w:ind w:firstLine="0" w:firstLineChars="0"/>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功率满足率每减少1%，扣一分，该项分数扣完为止。</w:t>
            </w:r>
          </w:p>
        </w:tc>
        <w:tc>
          <w:tcPr>
            <w:tcW w:w="1075" w:type="dxa"/>
            <w:tcBorders>
              <w:top w:val="nil"/>
              <w:left w:val="nil"/>
              <w:bottom w:val="single" w:color="auto" w:sz="4" w:space="0"/>
              <w:right w:val="single" w:color="auto" w:sz="4" w:space="0"/>
            </w:tcBorders>
            <w:shd w:val="clear" w:color="auto" w:fill="auto"/>
            <w:noWrap w:val="0"/>
            <w:vAlign w:val="center"/>
          </w:tcPr>
          <w:p w14:paraId="4408714C">
            <w:pPr>
              <w:widowControl/>
              <w:spacing w:after="0" w:line="360" w:lineRule="auto"/>
              <w:ind w:firstLine="0" w:firstLineChars="0"/>
              <w:jc w:val="center"/>
              <w:rPr>
                <w:rFonts w:hint="eastAsia" w:ascii="宋体" w:hAnsi="宋体" w:eastAsia="宋体" w:cs="宋体"/>
                <w:color w:val="000000"/>
                <w:kern w:val="0"/>
                <w:sz w:val="21"/>
                <w:szCs w:val="21"/>
              </w:rPr>
            </w:pPr>
          </w:p>
        </w:tc>
      </w:tr>
      <w:tr w14:paraId="7C31B60E">
        <w:tblPrEx>
          <w:tblCellMar>
            <w:top w:w="0" w:type="dxa"/>
            <w:left w:w="108" w:type="dxa"/>
            <w:bottom w:w="0" w:type="dxa"/>
            <w:right w:w="108" w:type="dxa"/>
          </w:tblCellMar>
        </w:tblPrEx>
        <w:trPr>
          <w:trHeight w:val="323" w:hRule="atLeast"/>
        </w:trPr>
        <w:tc>
          <w:tcPr>
            <w:tcW w:w="716" w:type="dxa"/>
            <w:tcBorders>
              <w:top w:val="nil"/>
              <w:left w:val="single" w:color="auto" w:sz="4" w:space="0"/>
              <w:bottom w:val="single" w:color="auto" w:sz="4" w:space="0"/>
              <w:right w:val="single" w:color="auto" w:sz="4" w:space="0"/>
            </w:tcBorders>
            <w:shd w:val="clear" w:color="auto" w:fill="auto"/>
            <w:noWrap w:val="0"/>
            <w:vAlign w:val="center"/>
          </w:tcPr>
          <w:p w14:paraId="03B83532">
            <w:pPr>
              <w:widowControl/>
              <w:spacing w:after="0"/>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二</w:t>
            </w:r>
          </w:p>
        </w:tc>
        <w:tc>
          <w:tcPr>
            <w:tcW w:w="1433" w:type="dxa"/>
            <w:tcBorders>
              <w:top w:val="nil"/>
              <w:left w:val="nil"/>
              <w:bottom w:val="single" w:color="auto" w:sz="4" w:space="0"/>
              <w:right w:val="single" w:color="auto" w:sz="4" w:space="0"/>
            </w:tcBorders>
            <w:shd w:val="clear" w:color="auto" w:fill="auto"/>
            <w:noWrap w:val="0"/>
            <w:vAlign w:val="center"/>
          </w:tcPr>
          <w:p w14:paraId="3B94D676">
            <w:pPr>
              <w:widowControl/>
              <w:spacing w:after="0"/>
              <w:ind w:firstLine="0" w:firstLineChars="0"/>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运营能力</w:t>
            </w:r>
          </w:p>
        </w:tc>
        <w:tc>
          <w:tcPr>
            <w:tcW w:w="716" w:type="dxa"/>
            <w:tcBorders>
              <w:top w:val="nil"/>
              <w:left w:val="nil"/>
              <w:bottom w:val="single" w:color="auto" w:sz="4" w:space="0"/>
              <w:right w:val="single" w:color="auto" w:sz="4" w:space="0"/>
            </w:tcBorders>
            <w:shd w:val="clear" w:color="auto" w:fill="auto"/>
            <w:noWrap w:val="0"/>
            <w:vAlign w:val="center"/>
          </w:tcPr>
          <w:p w14:paraId="7F67A7C3">
            <w:pPr>
              <w:widowControl/>
              <w:spacing w:after="0"/>
              <w:ind w:firstLine="0" w:firstLineChars="0"/>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45</w:t>
            </w:r>
          </w:p>
        </w:tc>
        <w:tc>
          <w:tcPr>
            <w:tcW w:w="4837" w:type="dxa"/>
            <w:tcBorders>
              <w:top w:val="nil"/>
              <w:left w:val="nil"/>
              <w:bottom w:val="single" w:color="auto" w:sz="4" w:space="0"/>
              <w:right w:val="single" w:color="auto" w:sz="4" w:space="0"/>
            </w:tcBorders>
            <w:shd w:val="clear" w:color="auto" w:fill="auto"/>
            <w:noWrap w:val="0"/>
            <w:vAlign w:val="center"/>
          </w:tcPr>
          <w:p w14:paraId="2BC1ED49">
            <w:pPr>
              <w:widowControl/>
              <w:spacing w:after="0" w:line="360" w:lineRule="auto"/>
              <w:ind w:firstLine="0" w:firstLineChars="0"/>
              <w:jc w:val="left"/>
              <w:rPr>
                <w:rFonts w:hint="eastAsia" w:ascii="宋体" w:hAnsi="宋体" w:eastAsia="宋体" w:cs="宋体"/>
                <w:b/>
                <w:bCs/>
                <w:color w:val="000000"/>
                <w:kern w:val="0"/>
                <w:sz w:val="21"/>
                <w:szCs w:val="21"/>
              </w:rPr>
            </w:pPr>
          </w:p>
        </w:tc>
        <w:tc>
          <w:tcPr>
            <w:tcW w:w="1075" w:type="dxa"/>
            <w:tcBorders>
              <w:top w:val="nil"/>
              <w:left w:val="nil"/>
              <w:bottom w:val="single" w:color="auto" w:sz="4" w:space="0"/>
              <w:right w:val="single" w:color="auto" w:sz="4" w:space="0"/>
            </w:tcBorders>
            <w:shd w:val="clear" w:color="auto" w:fill="auto"/>
            <w:noWrap w:val="0"/>
            <w:vAlign w:val="center"/>
          </w:tcPr>
          <w:p w14:paraId="411B1C7F">
            <w:pPr>
              <w:widowControl/>
              <w:spacing w:after="0" w:line="360" w:lineRule="auto"/>
              <w:ind w:firstLine="0" w:firstLineChars="0"/>
              <w:jc w:val="center"/>
              <w:rPr>
                <w:rFonts w:hint="eastAsia" w:ascii="宋体" w:hAnsi="宋体" w:eastAsia="宋体" w:cs="宋体"/>
                <w:color w:val="000000"/>
                <w:kern w:val="0"/>
                <w:sz w:val="21"/>
                <w:szCs w:val="21"/>
              </w:rPr>
            </w:pPr>
          </w:p>
        </w:tc>
      </w:tr>
      <w:tr w14:paraId="163A0693">
        <w:tblPrEx>
          <w:tblCellMar>
            <w:top w:w="0" w:type="dxa"/>
            <w:left w:w="108" w:type="dxa"/>
            <w:bottom w:w="0" w:type="dxa"/>
            <w:right w:w="108" w:type="dxa"/>
          </w:tblCellMar>
        </w:tblPrEx>
        <w:trPr>
          <w:trHeight w:val="90" w:hRule="atLeast"/>
        </w:trPr>
        <w:tc>
          <w:tcPr>
            <w:tcW w:w="716" w:type="dxa"/>
            <w:tcBorders>
              <w:top w:val="nil"/>
              <w:left w:val="single" w:color="auto" w:sz="4" w:space="0"/>
              <w:bottom w:val="single" w:color="auto" w:sz="4" w:space="0"/>
              <w:right w:val="single" w:color="auto" w:sz="4" w:space="0"/>
            </w:tcBorders>
            <w:shd w:val="clear" w:color="auto" w:fill="auto"/>
            <w:noWrap w:val="0"/>
            <w:vAlign w:val="center"/>
          </w:tcPr>
          <w:p w14:paraId="3FCC6761">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433" w:type="dxa"/>
            <w:tcBorders>
              <w:top w:val="nil"/>
              <w:left w:val="nil"/>
              <w:bottom w:val="single" w:color="auto" w:sz="4" w:space="0"/>
              <w:right w:val="single" w:color="auto" w:sz="4" w:space="0"/>
            </w:tcBorders>
            <w:shd w:val="clear" w:color="auto" w:fill="auto"/>
            <w:noWrap w:val="0"/>
            <w:vAlign w:val="center"/>
          </w:tcPr>
          <w:p w14:paraId="3163406A">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枪均服务费水平（超充）</w:t>
            </w:r>
          </w:p>
        </w:tc>
        <w:tc>
          <w:tcPr>
            <w:tcW w:w="716" w:type="dxa"/>
            <w:tcBorders>
              <w:top w:val="nil"/>
              <w:left w:val="nil"/>
              <w:bottom w:val="single" w:color="auto" w:sz="4" w:space="0"/>
              <w:right w:val="single" w:color="auto" w:sz="4" w:space="0"/>
            </w:tcBorders>
            <w:shd w:val="clear" w:color="auto" w:fill="auto"/>
            <w:noWrap w:val="0"/>
            <w:vAlign w:val="center"/>
          </w:tcPr>
          <w:p w14:paraId="39FF943B">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35</w:t>
            </w:r>
          </w:p>
        </w:tc>
        <w:tc>
          <w:tcPr>
            <w:tcW w:w="4837" w:type="dxa"/>
            <w:tcBorders>
              <w:top w:val="nil"/>
              <w:left w:val="nil"/>
              <w:bottom w:val="single" w:color="auto" w:sz="4" w:space="0"/>
              <w:right w:val="single" w:color="auto" w:sz="4" w:space="0"/>
            </w:tcBorders>
            <w:shd w:val="clear" w:color="auto" w:fill="auto"/>
            <w:noWrap w:val="0"/>
            <w:vAlign w:val="center"/>
          </w:tcPr>
          <w:p w14:paraId="30C850A6">
            <w:pPr>
              <w:widowControl/>
              <w:spacing w:after="0" w:line="360" w:lineRule="auto"/>
              <w:ind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枪均服务费水平得分</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30</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达成率</w:t>
            </w:r>
            <w:r>
              <w:rPr>
                <w:rFonts w:hint="eastAsia" w:ascii="宋体" w:hAnsi="宋体" w:eastAsia="宋体" w:cs="宋体"/>
                <w:color w:val="000000"/>
                <w:kern w:val="0"/>
                <w:sz w:val="21"/>
                <w:szCs w:val="21"/>
                <w:highlight w:val="none"/>
              </w:rPr>
              <w:t>。</w:t>
            </w:r>
          </w:p>
          <w:p w14:paraId="6EEA945E">
            <w:pPr>
              <w:widowControl/>
              <w:spacing w:after="0" w:line="360" w:lineRule="auto"/>
              <w:ind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达成率</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bidi="ar-SA"/>
              </w:rPr>
              <w:t>考核期内</w:t>
            </w:r>
            <w:r>
              <w:rPr>
                <w:rFonts w:hint="eastAsia" w:ascii="宋体" w:hAnsi="宋体" w:eastAsia="宋体" w:cs="宋体"/>
                <w:color w:val="000000"/>
                <w:kern w:val="0"/>
                <w:sz w:val="21"/>
                <w:szCs w:val="21"/>
                <w:highlight w:val="none"/>
                <w:lang w:val="en-US" w:eastAsia="zh-CN"/>
              </w:rPr>
              <w:t>达成指标</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bidi="ar-SA"/>
              </w:rPr>
              <w:t>考核期内</w:t>
            </w:r>
            <w:r>
              <w:rPr>
                <w:rFonts w:hint="eastAsia" w:ascii="宋体" w:hAnsi="宋体" w:eastAsia="宋体" w:cs="宋体"/>
                <w:color w:val="000000"/>
                <w:kern w:val="0"/>
                <w:sz w:val="21"/>
                <w:szCs w:val="21"/>
                <w:highlight w:val="none"/>
                <w:lang w:val="en-US" w:eastAsia="zh-CN"/>
              </w:rPr>
              <w:t>度考核指标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100%。</w:t>
            </w:r>
          </w:p>
          <w:p w14:paraId="1165054E">
            <w:pPr>
              <w:widowControl/>
              <w:spacing w:after="0" w:line="360" w:lineRule="auto"/>
              <w:ind w:firstLine="0" w:firstLineChars="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考核指标暂定：单枪服务费收入30元/日。</w:t>
            </w:r>
          </w:p>
        </w:tc>
        <w:tc>
          <w:tcPr>
            <w:tcW w:w="1075" w:type="dxa"/>
            <w:tcBorders>
              <w:top w:val="nil"/>
              <w:left w:val="nil"/>
              <w:bottom w:val="single" w:color="auto" w:sz="4" w:space="0"/>
              <w:right w:val="single" w:color="auto" w:sz="4" w:space="0"/>
            </w:tcBorders>
            <w:shd w:val="clear" w:color="auto" w:fill="auto"/>
            <w:noWrap w:val="0"/>
            <w:vAlign w:val="center"/>
          </w:tcPr>
          <w:p w14:paraId="2E418BA9">
            <w:pPr>
              <w:widowControl/>
              <w:spacing w:after="0" w:line="360" w:lineRule="auto"/>
              <w:ind w:firstLine="0" w:firstLineChars="0"/>
              <w:jc w:val="center"/>
              <w:rPr>
                <w:rFonts w:hint="eastAsia" w:ascii="宋体" w:hAnsi="宋体" w:eastAsia="宋体" w:cs="宋体"/>
                <w:color w:val="000000"/>
                <w:kern w:val="0"/>
                <w:sz w:val="21"/>
                <w:szCs w:val="21"/>
              </w:rPr>
            </w:pPr>
          </w:p>
        </w:tc>
      </w:tr>
      <w:tr w14:paraId="2E7E8323">
        <w:tblPrEx>
          <w:tblCellMar>
            <w:top w:w="0" w:type="dxa"/>
            <w:left w:w="108" w:type="dxa"/>
            <w:bottom w:w="0" w:type="dxa"/>
            <w:right w:w="108" w:type="dxa"/>
          </w:tblCellMar>
        </w:tblPrEx>
        <w:trPr>
          <w:trHeight w:val="90" w:hRule="atLeast"/>
        </w:trPr>
        <w:tc>
          <w:tcPr>
            <w:tcW w:w="716" w:type="dxa"/>
            <w:tcBorders>
              <w:top w:val="nil"/>
              <w:left w:val="single" w:color="auto" w:sz="4" w:space="0"/>
              <w:bottom w:val="single" w:color="auto" w:sz="4" w:space="0"/>
              <w:right w:val="single" w:color="auto" w:sz="4" w:space="0"/>
            </w:tcBorders>
            <w:shd w:val="clear" w:color="auto" w:fill="auto"/>
            <w:noWrap w:val="0"/>
            <w:vAlign w:val="center"/>
          </w:tcPr>
          <w:p w14:paraId="7B0149BE">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433" w:type="dxa"/>
            <w:tcBorders>
              <w:top w:val="nil"/>
              <w:left w:val="nil"/>
              <w:bottom w:val="single" w:color="auto" w:sz="4" w:space="0"/>
              <w:right w:val="single" w:color="auto" w:sz="4" w:space="0"/>
            </w:tcBorders>
            <w:shd w:val="clear" w:color="auto" w:fill="auto"/>
            <w:noWrap w:val="0"/>
            <w:vAlign w:val="center"/>
          </w:tcPr>
          <w:p w14:paraId="16C15D51">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枪均服务费水平（快充）</w:t>
            </w:r>
          </w:p>
        </w:tc>
        <w:tc>
          <w:tcPr>
            <w:tcW w:w="716" w:type="dxa"/>
            <w:tcBorders>
              <w:top w:val="nil"/>
              <w:left w:val="nil"/>
              <w:bottom w:val="single" w:color="auto" w:sz="4" w:space="0"/>
              <w:right w:val="single" w:color="auto" w:sz="4" w:space="0"/>
            </w:tcBorders>
            <w:shd w:val="clear" w:color="auto" w:fill="auto"/>
            <w:noWrap w:val="0"/>
            <w:vAlign w:val="center"/>
          </w:tcPr>
          <w:p w14:paraId="3D050A2E">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4837" w:type="dxa"/>
            <w:tcBorders>
              <w:top w:val="nil"/>
              <w:left w:val="nil"/>
              <w:bottom w:val="single" w:color="auto" w:sz="4" w:space="0"/>
              <w:right w:val="single" w:color="auto" w:sz="4" w:space="0"/>
            </w:tcBorders>
            <w:shd w:val="clear" w:color="auto" w:fill="auto"/>
            <w:noWrap w:val="0"/>
            <w:vAlign w:val="center"/>
          </w:tcPr>
          <w:p w14:paraId="40F4C172">
            <w:pPr>
              <w:widowControl/>
              <w:spacing w:after="0" w:line="360" w:lineRule="auto"/>
              <w:ind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枪均服务费水平得分</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达成率</w:t>
            </w:r>
            <w:r>
              <w:rPr>
                <w:rFonts w:hint="eastAsia" w:ascii="宋体" w:hAnsi="宋体" w:eastAsia="宋体" w:cs="宋体"/>
                <w:color w:val="000000"/>
                <w:kern w:val="0"/>
                <w:sz w:val="21"/>
                <w:szCs w:val="21"/>
                <w:highlight w:val="none"/>
              </w:rPr>
              <w:t>。</w:t>
            </w:r>
          </w:p>
          <w:p w14:paraId="3A70B82C">
            <w:pPr>
              <w:widowControl/>
              <w:spacing w:after="0" w:line="360" w:lineRule="auto"/>
              <w:ind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达成率</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bidi="ar-SA"/>
              </w:rPr>
              <w:t>考核期内</w:t>
            </w:r>
            <w:r>
              <w:rPr>
                <w:rFonts w:hint="eastAsia" w:ascii="宋体" w:hAnsi="宋体" w:eastAsia="宋体" w:cs="宋体"/>
                <w:color w:val="000000"/>
                <w:kern w:val="0"/>
                <w:sz w:val="21"/>
                <w:szCs w:val="21"/>
                <w:highlight w:val="none"/>
                <w:lang w:val="en-US" w:eastAsia="zh-CN"/>
              </w:rPr>
              <w:t>达成指标</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bidi="ar-SA"/>
              </w:rPr>
              <w:t>考核期内</w:t>
            </w:r>
            <w:r>
              <w:rPr>
                <w:rFonts w:hint="eastAsia" w:ascii="宋体" w:hAnsi="宋体" w:eastAsia="宋体" w:cs="宋体"/>
                <w:color w:val="000000"/>
                <w:kern w:val="0"/>
                <w:sz w:val="21"/>
                <w:szCs w:val="21"/>
                <w:highlight w:val="none"/>
                <w:lang w:val="en-US" w:eastAsia="zh-CN"/>
              </w:rPr>
              <w:t>度考核指标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100%。</w:t>
            </w:r>
          </w:p>
          <w:p w14:paraId="45CAA695">
            <w:pPr>
              <w:widowControl/>
              <w:spacing w:after="0" w:line="360" w:lineRule="auto"/>
              <w:ind w:firstLine="0" w:firstLineChars="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考核指标暂定：单枪服务费收入5元/日。</w:t>
            </w:r>
          </w:p>
        </w:tc>
        <w:tc>
          <w:tcPr>
            <w:tcW w:w="1075" w:type="dxa"/>
            <w:tcBorders>
              <w:top w:val="nil"/>
              <w:left w:val="nil"/>
              <w:bottom w:val="single" w:color="auto" w:sz="4" w:space="0"/>
              <w:right w:val="single" w:color="auto" w:sz="4" w:space="0"/>
            </w:tcBorders>
            <w:shd w:val="clear" w:color="auto" w:fill="auto"/>
            <w:noWrap w:val="0"/>
            <w:vAlign w:val="center"/>
          </w:tcPr>
          <w:p w14:paraId="266F989D">
            <w:pPr>
              <w:widowControl/>
              <w:spacing w:after="0" w:line="360" w:lineRule="auto"/>
              <w:ind w:firstLine="0" w:firstLineChars="0"/>
              <w:jc w:val="center"/>
              <w:rPr>
                <w:rFonts w:hint="eastAsia" w:ascii="宋体" w:hAnsi="宋体" w:eastAsia="宋体" w:cs="宋体"/>
                <w:color w:val="000000"/>
                <w:kern w:val="0"/>
                <w:sz w:val="21"/>
                <w:szCs w:val="21"/>
              </w:rPr>
            </w:pPr>
          </w:p>
        </w:tc>
      </w:tr>
      <w:tr w14:paraId="2DF7576B">
        <w:tblPrEx>
          <w:tblCellMar>
            <w:top w:w="0" w:type="dxa"/>
            <w:left w:w="108" w:type="dxa"/>
            <w:bottom w:w="0" w:type="dxa"/>
            <w:right w:w="108" w:type="dxa"/>
          </w:tblCellMar>
        </w:tblPrEx>
        <w:trPr>
          <w:trHeight w:val="592" w:hRule="atLeast"/>
        </w:trPr>
        <w:tc>
          <w:tcPr>
            <w:tcW w:w="716" w:type="dxa"/>
            <w:tcBorders>
              <w:top w:val="nil"/>
              <w:left w:val="single" w:color="auto" w:sz="4" w:space="0"/>
              <w:bottom w:val="single" w:color="auto" w:sz="4" w:space="0"/>
              <w:right w:val="single" w:color="auto" w:sz="4" w:space="0"/>
            </w:tcBorders>
            <w:shd w:val="clear" w:color="auto" w:fill="auto"/>
            <w:noWrap w:val="0"/>
            <w:vAlign w:val="center"/>
          </w:tcPr>
          <w:p w14:paraId="4779F153">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433" w:type="dxa"/>
            <w:tcBorders>
              <w:top w:val="nil"/>
              <w:left w:val="nil"/>
              <w:bottom w:val="single" w:color="auto" w:sz="4" w:space="0"/>
              <w:right w:val="single" w:color="auto" w:sz="4" w:space="0"/>
            </w:tcBorders>
            <w:shd w:val="clear" w:color="auto" w:fill="auto"/>
            <w:noWrap w:val="0"/>
            <w:vAlign w:val="center"/>
          </w:tcPr>
          <w:p w14:paraId="63A34B9F">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线下活动次数</w:t>
            </w:r>
          </w:p>
        </w:tc>
        <w:tc>
          <w:tcPr>
            <w:tcW w:w="716" w:type="dxa"/>
            <w:tcBorders>
              <w:top w:val="nil"/>
              <w:left w:val="nil"/>
              <w:bottom w:val="single" w:color="auto" w:sz="4" w:space="0"/>
              <w:right w:val="single" w:color="auto" w:sz="4" w:space="0"/>
            </w:tcBorders>
            <w:shd w:val="clear" w:color="auto" w:fill="auto"/>
            <w:noWrap w:val="0"/>
            <w:vAlign w:val="center"/>
          </w:tcPr>
          <w:p w14:paraId="54968FD7">
            <w:pPr>
              <w:widowControl/>
              <w:spacing w:after="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4837" w:type="dxa"/>
            <w:tcBorders>
              <w:top w:val="nil"/>
              <w:left w:val="nil"/>
              <w:bottom w:val="single" w:color="auto" w:sz="4" w:space="0"/>
              <w:right w:val="single" w:color="auto" w:sz="4" w:space="0"/>
            </w:tcBorders>
            <w:shd w:val="clear" w:color="auto" w:fill="auto"/>
            <w:noWrap w:val="0"/>
            <w:vAlign w:val="center"/>
          </w:tcPr>
          <w:p w14:paraId="0445EF49">
            <w:pPr>
              <w:widowControl/>
              <w:spacing w:after="0" w:line="360" w:lineRule="auto"/>
              <w:ind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单站线下活动次数（自用站、封闭站不在考核范围内）。</w:t>
            </w:r>
          </w:p>
          <w:p w14:paraId="65CB4CF7">
            <w:pPr>
              <w:widowControl/>
              <w:spacing w:after="0" w:line="360" w:lineRule="auto"/>
              <w:ind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2次以上（含2次），得5分；</w:t>
            </w:r>
          </w:p>
          <w:p w14:paraId="0D90A198">
            <w:pPr>
              <w:widowControl/>
              <w:spacing w:after="0" w:line="360" w:lineRule="auto"/>
              <w:ind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1次，得2分；</w:t>
            </w:r>
          </w:p>
          <w:p w14:paraId="63574E54">
            <w:pPr>
              <w:widowControl/>
              <w:spacing w:after="0" w:line="360" w:lineRule="auto"/>
              <w:ind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0次，不得分。</w:t>
            </w:r>
          </w:p>
        </w:tc>
        <w:tc>
          <w:tcPr>
            <w:tcW w:w="1075" w:type="dxa"/>
            <w:tcBorders>
              <w:top w:val="nil"/>
              <w:left w:val="nil"/>
              <w:bottom w:val="single" w:color="auto" w:sz="4" w:space="0"/>
              <w:right w:val="single" w:color="auto" w:sz="4" w:space="0"/>
            </w:tcBorders>
            <w:shd w:val="clear" w:color="auto" w:fill="auto"/>
            <w:noWrap w:val="0"/>
            <w:vAlign w:val="center"/>
          </w:tcPr>
          <w:p w14:paraId="1D216C8B">
            <w:pPr>
              <w:widowControl/>
              <w:spacing w:after="0" w:line="360" w:lineRule="auto"/>
              <w:ind w:firstLine="0" w:firstLineChars="0"/>
              <w:jc w:val="center"/>
              <w:rPr>
                <w:rFonts w:hint="eastAsia" w:ascii="宋体" w:hAnsi="宋体" w:eastAsia="宋体" w:cs="宋体"/>
                <w:color w:val="000000"/>
                <w:kern w:val="0"/>
                <w:sz w:val="21"/>
                <w:szCs w:val="21"/>
              </w:rPr>
            </w:pPr>
          </w:p>
        </w:tc>
      </w:tr>
      <w:tr w14:paraId="744020F6">
        <w:tblPrEx>
          <w:tblCellMar>
            <w:top w:w="0" w:type="dxa"/>
            <w:left w:w="108" w:type="dxa"/>
            <w:bottom w:w="0" w:type="dxa"/>
            <w:right w:w="108" w:type="dxa"/>
          </w:tblCellMar>
        </w:tblPrEx>
        <w:trPr>
          <w:trHeight w:val="323" w:hRule="atLeast"/>
        </w:trPr>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F8345C">
            <w:pPr>
              <w:widowControl/>
              <w:spacing w:after="0"/>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三</w:t>
            </w:r>
          </w:p>
        </w:tc>
        <w:tc>
          <w:tcPr>
            <w:tcW w:w="1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B23028">
            <w:pPr>
              <w:widowControl/>
              <w:spacing w:after="0"/>
              <w:ind w:firstLine="0" w:firstLineChars="0"/>
              <w:jc w:val="center"/>
              <w:rPr>
                <w:rFonts w:hint="eastAsia" w:ascii="宋体" w:hAnsi="宋体" w:eastAsia="宋体" w:cs="宋体"/>
                <w:b/>
                <w:kern w:val="0"/>
                <w:sz w:val="21"/>
                <w:szCs w:val="21"/>
                <w:lang w:val="en-US" w:eastAsia="zh-CN"/>
              </w:rPr>
            </w:pPr>
            <w:r>
              <w:rPr>
                <w:rFonts w:hint="eastAsia" w:ascii="宋体" w:hAnsi="宋体" w:eastAsia="宋体" w:cs="宋体"/>
                <w:b/>
                <w:bCs/>
                <w:color w:val="000000"/>
                <w:kern w:val="0"/>
                <w:sz w:val="21"/>
                <w:szCs w:val="21"/>
                <w:lang w:val="en-US" w:eastAsia="zh-CN"/>
              </w:rPr>
              <w:t>线下管理</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5F8B5A">
            <w:pPr>
              <w:widowControl/>
              <w:spacing w:after="0"/>
              <w:ind w:firstLine="0" w:firstLineChars="0"/>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20</w:t>
            </w:r>
          </w:p>
        </w:tc>
        <w:tc>
          <w:tcPr>
            <w:tcW w:w="4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601FB5">
            <w:pPr>
              <w:widowControl/>
              <w:spacing w:after="0" w:line="360" w:lineRule="auto"/>
              <w:ind w:firstLine="0" w:firstLineChars="0"/>
              <w:jc w:val="left"/>
              <w:rPr>
                <w:rFonts w:hint="eastAsia" w:ascii="宋体" w:hAnsi="宋体" w:eastAsia="宋体" w:cs="宋体"/>
                <w:kern w:val="0"/>
                <w:sz w:val="21"/>
                <w:szCs w:val="21"/>
              </w:rPr>
            </w:pPr>
          </w:p>
        </w:tc>
        <w:tc>
          <w:tcPr>
            <w:tcW w:w="10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682BA7">
            <w:pPr>
              <w:widowControl/>
              <w:spacing w:after="0" w:line="360" w:lineRule="auto"/>
              <w:ind w:firstLine="0" w:firstLineChars="0"/>
              <w:jc w:val="center"/>
              <w:rPr>
                <w:rFonts w:hint="eastAsia" w:ascii="宋体" w:hAnsi="宋体" w:eastAsia="宋体" w:cs="宋体"/>
                <w:color w:val="000000"/>
                <w:kern w:val="0"/>
                <w:sz w:val="21"/>
                <w:szCs w:val="21"/>
              </w:rPr>
            </w:pPr>
          </w:p>
        </w:tc>
      </w:tr>
      <w:tr w14:paraId="621EB37B">
        <w:tblPrEx>
          <w:shd w:val="clear" w:color="auto" w:fill="auto"/>
          <w:tblCellMar>
            <w:top w:w="0" w:type="dxa"/>
            <w:left w:w="108" w:type="dxa"/>
            <w:bottom w:w="0" w:type="dxa"/>
            <w:right w:w="108" w:type="dxa"/>
          </w:tblCellMar>
        </w:tblPrEx>
        <w:trPr>
          <w:trHeight w:val="849" w:hRule="atLeast"/>
        </w:trPr>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C3ECB9">
            <w:pPr>
              <w:widowControl/>
              <w:spacing w:after="0"/>
              <w:ind w:firstLine="0" w:firstLineChars="0"/>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1</w:t>
            </w:r>
          </w:p>
        </w:tc>
        <w:tc>
          <w:tcPr>
            <w:tcW w:w="1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9CC91">
            <w:pPr>
              <w:widowControl/>
              <w:spacing w:after="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政府检查</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781BBB">
            <w:pPr>
              <w:widowControl/>
              <w:spacing w:after="0"/>
              <w:ind w:firstLine="0" w:firstLineChars="0"/>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10</w:t>
            </w:r>
          </w:p>
        </w:tc>
        <w:tc>
          <w:tcPr>
            <w:tcW w:w="4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939B9C">
            <w:pPr>
              <w:widowControl/>
              <w:spacing w:after="0" w:line="360" w:lineRule="auto"/>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考核期内接受各级政府检查，因管理不善存在风险的。</w:t>
            </w:r>
          </w:p>
          <w:p w14:paraId="2B0B3772">
            <w:pPr>
              <w:widowControl/>
              <w:spacing w:after="0"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检查存在较大风险项，每项扣2分，扣完为止。</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0790F4">
            <w:pPr>
              <w:widowControl/>
              <w:spacing w:after="0" w:line="360" w:lineRule="auto"/>
              <w:ind w:firstLine="0" w:firstLineChars="0"/>
              <w:jc w:val="center"/>
              <w:rPr>
                <w:rFonts w:hint="eastAsia" w:ascii="宋体" w:hAnsi="宋体" w:eastAsia="宋体" w:cs="宋体"/>
                <w:color w:val="000000"/>
                <w:kern w:val="0"/>
                <w:sz w:val="21"/>
                <w:szCs w:val="21"/>
                <w:lang w:val="en-US" w:eastAsia="zh-CN" w:bidi="ar-SA"/>
              </w:rPr>
            </w:pPr>
          </w:p>
        </w:tc>
      </w:tr>
      <w:tr w14:paraId="645CB02E">
        <w:tblPrEx>
          <w:tblCellMar>
            <w:top w:w="0" w:type="dxa"/>
            <w:left w:w="108" w:type="dxa"/>
            <w:bottom w:w="0" w:type="dxa"/>
            <w:right w:w="108" w:type="dxa"/>
          </w:tblCellMar>
        </w:tblPrEx>
        <w:trPr>
          <w:trHeight w:val="981" w:hRule="atLeast"/>
        </w:trPr>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D3EC8C">
            <w:pPr>
              <w:widowControl/>
              <w:spacing w:after="0"/>
              <w:ind w:firstLine="0" w:firstLineChars="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1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353EF">
            <w:pPr>
              <w:widowControl/>
              <w:spacing w:after="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定期检查评价</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0B2F49">
            <w:pPr>
              <w:widowControl/>
              <w:spacing w:after="0"/>
              <w:ind w:firstLine="0" w:firstLineChars="0"/>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10</w:t>
            </w:r>
          </w:p>
        </w:tc>
        <w:tc>
          <w:tcPr>
            <w:tcW w:w="4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90FC72">
            <w:pPr>
              <w:widowControl/>
              <w:spacing w:after="0"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快充站每个考核期内至少检查评价一次。存在一个充电站未定期评价扣1分，扣完为止。</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3B4842">
            <w:pPr>
              <w:widowControl/>
              <w:spacing w:after="0" w:line="360" w:lineRule="auto"/>
              <w:ind w:firstLine="0" w:firstLineChars="0"/>
              <w:jc w:val="center"/>
              <w:rPr>
                <w:rFonts w:hint="eastAsia" w:ascii="宋体" w:hAnsi="宋体" w:eastAsia="宋体" w:cs="宋体"/>
                <w:color w:val="000000"/>
                <w:kern w:val="0"/>
                <w:sz w:val="21"/>
                <w:szCs w:val="21"/>
              </w:rPr>
            </w:pPr>
          </w:p>
        </w:tc>
      </w:tr>
      <w:tr w14:paraId="15B5F185">
        <w:tblPrEx>
          <w:tblCellMar>
            <w:top w:w="0" w:type="dxa"/>
            <w:left w:w="108" w:type="dxa"/>
            <w:bottom w:w="0" w:type="dxa"/>
            <w:right w:w="108" w:type="dxa"/>
          </w:tblCellMar>
        </w:tblPrEx>
        <w:trPr>
          <w:trHeight w:val="313" w:hRule="atLeast"/>
        </w:trPr>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B192F8">
            <w:pPr>
              <w:widowControl/>
              <w:spacing w:after="0"/>
              <w:ind w:firstLine="0" w:firstLineChars="0"/>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四</w:t>
            </w:r>
          </w:p>
        </w:tc>
        <w:tc>
          <w:tcPr>
            <w:tcW w:w="1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375327">
            <w:pPr>
              <w:widowControl/>
              <w:spacing w:after="0"/>
              <w:ind w:firstLine="0" w:firstLineChars="0"/>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制度和资料</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223BF">
            <w:pPr>
              <w:widowControl/>
              <w:spacing w:after="0"/>
              <w:ind w:firstLine="0" w:firstLineChars="0"/>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10</w:t>
            </w:r>
          </w:p>
        </w:tc>
        <w:tc>
          <w:tcPr>
            <w:tcW w:w="4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5BDF53">
            <w:pPr>
              <w:widowControl/>
              <w:spacing w:after="0" w:line="360" w:lineRule="auto"/>
              <w:ind w:firstLine="0" w:firstLineChars="0"/>
              <w:jc w:val="left"/>
              <w:rPr>
                <w:rFonts w:hint="eastAsia" w:ascii="宋体" w:hAnsi="宋体" w:eastAsia="宋体" w:cs="宋体"/>
                <w:kern w:val="0"/>
                <w:sz w:val="21"/>
                <w:szCs w:val="21"/>
                <w:lang w:val="en-US" w:eastAsia="zh-CN"/>
              </w:rPr>
            </w:pPr>
          </w:p>
        </w:tc>
        <w:tc>
          <w:tcPr>
            <w:tcW w:w="10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DDD8C">
            <w:pPr>
              <w:widowControl/>
              <w:spacing w:after="0" w:line="360" w:lineRule="auto"/>
              <w:ind w:firstLine="0" w:firstLineChars="0"/>
              <w:jc w:val="center"/>
              <w:rPr>
                <w:rFonts w:hint="eastAsia" w:ascii="宋体" w:hAnsi="宋体" w:eastAsia="宋体" w:cs="宋体"/>
                <w:color w:val="000000"/>
                <w:kern w:val="0"/>
                <w:sz w:val="21"/>
                <w:szCs w:val="21"/>
              </w:rPr>
            </w:pPr>
          </w:p>
        </w:tc>
      </w:tr>
      <w:tr w14:paraId="023BECF1">
        <w:tblPrEx>
          <w:tblCellMar>
            <w:top w:w="0" w:type="dxa"/>
            <w:left w:w="108" w:type="dxa"/>
            <w:bottom w:w="0" w:type="dxa"/>
            <w:right w:w="108" w:type="dxa"/>
          </w:tblCellMar>
        </w:tblPrEx>
        <w:trPr>
          <w:trHeight w:val="1325" w:hRule="atLeast"/>
        </w:trPr>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581515">
            <w:pPr>
              <w:widowControl/>
              <w:spacing w:after="0"/>
              <w:ind w:firstLine="0" w:firstLineChars="0"/>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w:t>
            </w:r>
          </w:p>
        </w:tc>
        <w:tc>
          <w:tcPr>
            <w:tcW w:w="1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4E6C9E">
            <w:pPr>
              <w:widowControl/>
              <w:spacing w:after="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管理制度评价</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34207">
            <w:pPr>
              <w:widowControl/>
              <w:spacing w:after="0"/>
              <w:ind w:firstLine="0" w:firstLineChars="0"/>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w:t>
            </w:r>
          </w:p>
        </w:tc>
        <w:tc>
          <w:tcPr>
            <w:tcW w:w="4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2D4C7">
            <w:pPr>
              <w:widowControl/>
              <w:spacing w:after="0" w:line="360" w:lineRule="auto"/>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运营管理制度包含但不限于运营安全管理制度、场站与设施设备管理制度、巡检管理制度、应急管理制度、事故处理制度、安全隐患自查与消除处理制度以及运营服务保障制度等管理制度文件完整性和适用性。</w:t>
            </w:r>
          </w:p>
          <w:p w14:paraId="73004BA4">
            <w:pPr>
              <w:widowControl/>
              <w:spacing w:after="0" w:line="360" w:lineRule="auto"/>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制度完整得5分；</w:t>
            </w:r>
          </w:p>
          <w:p w14:paraId="20C29F8A">
            <w:pPr>
              <w:widowControl/>
              <w:spacing w:after="0"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制度不完整得0分。</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A6E03">
            <w:pPr>
              <w:widowControl/>
              <w:spacing w:after="0" w:line="360" w:lineRule="auto"/>
              <w:ind w:firstLine="0" w:firstLineChars="0"/>
              <w:jc w:val="center"/>
              <w:rPr>
                <w:rFonts w:hint="eastAsia" w:ascii="宋体" w:hAnsi="宋体" w:eastAsia="宋体" w:cs="宋体"/>
                <w:color w:val="000000"/>
                <w:kern w:val="0"/>
                <w:sz w:val="21"/>
                <w:szCs w:val="21"/>
              </w:rPr>
            </w:pPr>
          </w:p>
        </w:tc>
      </w:tr>
      <w:tr w14:paraId="3C30961E">
        <w:tblPrEx>
          <w:tblCellMar>
            <w:top w:w="0" w:type="dxa"/>
            <w:left w:w="108" w:type="dxa"/>
            <w:bottom w:w="0" w:type="dxa"/>
            <w:right w:w="108" w:type="dxa"/>
          </w:tblCellMar>
        </w:tblPrEx>
        <w:trPr>
          <w:trHeight w:val="1325" w:hRule="atLeast"/>
        </w:trPr>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9557AD">
            <w:pPr>
              <w:widowControl/>
              <w:spacing w:after="0"/>
              <w:ind w:firstLine="0" w:firstLineChars="0"/>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2</w:t>
            </w:r>
          </w:p>
        </w:tc>
        <w:tc>
          <w:tcPr>
            <w:tcW w:w="1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48421">
            <w:pPr>
              <w:widowControl/>
              <w:spacing w:after="0"/>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资料管理评价</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B99D06">
            <w:pPr>
              <w:widowControl/>
              <w:spacing w:after="0"/>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4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7DC68B">
            <w:pPr>
              <w:widowControl/>
              <w:spacing w:after="0" w:line="360" w:lineRule="auto"/>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建立充电设施维修台账、巡检记录、安全培训记录、应急演练记录、安全自查（排查）记录、维保记录等文件及报告。</w:t>
            </w:r>
          </w:p>
          <w:p w14:paraId="653246F8">
            <w:pPr>
              <w:widowControl/>
              <w:spacing w:after="0" w:line="360" w:lineRule="auto"/>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5分：资料归档情况好，台账清晰，字迹工整；</w:t>
            </w:r>
          </w:p>
          <w:p w14:paraId="100AF90F">
            <w:pPr>
              <w:widowControl/>
              <w:spacing w:after="0" w:line="360" w:lineRule="auto"/>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2分：资料归档情况一般，基本清晰，字迹工整，个别非重要资料缺失；</w:t>
            </w:r>
          </w:p>
          <w:p w14:paraId="5D030E0A">
            <w:pPr>
              <w:widowControl/>
              <w:spacing w:after="0" w:line="360" w:lineRule="auto"/>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0分：资料归档情况差，台账混乱、字迹模糊不清、重要资料丢失或未归档等。</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BB04D">
            <w:pPr>
              <w:widowControl/>
              <w:spacing w:after="0" w:line="360" w:lineRule="auto"/>
              <w:ind w:firstLine="0" w:firstLineChars="0"/>
              <w:jc w:val="center"/>
              <w:rPr>
                <w:rFonts w:hint="eastAsia" w:ascii="宋体" w:hAnsi="宋体" w:eastAsia="宋体" w:cs="宋体"/>
                <w:color w:val="000000"/>
                <w:kern w:val="0"/>
                <w:sz w:val="21"/>
                <w:szCs w:val="21"/>
              </w:rPr>
            </w:pPr>
          </w:p>
        </w:tc>
      </w:tr>
      <w:tr w14:paraId="347FA3C8">
        <w:tblPrEx>
          <w:tblCellMar>
            <w:top w:w="0" w:type="dxa"/>
            <w:left w:w="108" w:type="dxa"/>
            <w:bottom w:w="0" w:type="dxa"/>
            <w:right w:w="108" w:type="dxa"/>
          </w:tblCellMar>
        </w:tblPrEx>
        <w:trPr>
          <w:trHeight w:val="323" w:hRule="atLeast"/>
        </w:trPr>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19DD7">
            <w:pPr>
              <w:widowControl/>
              <w:spacing w:after="0"/>
              <w:ind w:firstLine="0" w:firstLineChars="0"/>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五</w:t>
            </w:r>
          </w:p>
        </w:tc>
        <w:tc>
          <w:tcPr>
            <w:tcW w:w="1433" w:type="dxa"/>
            <w:tcBorders>
              <w:top w:val="single" w:color="auto" w:sz="4" w:space="0"/>
              <w:left w:val="nil"/>
              <w:bottom w:val="single" w:color="auto" w:sz="4" w:space="0"/>
              <w:right w:val="single" w:color="auto" w:sz="4" w:space="0"/>
            </w:tcBorders>
            <w:shd w:val="clear" w:color="auto" w:fill="auto"/>
            <w:noWrap w:val="0"/>
            <w:vAlign w:val="center"/>
          </w:tcPr>
          <w:p w14:paraId="17BC1B87">
            <w:pPr>
              <w:widowControl/>
              <w:spacing w:after="0"/>
              <w:ind w:firstLine="0" w:firstLineChars="0"/>
              <w:jc w:val="center"/>
              <w:rPr>
                <w:rFonts w:hint="eastAsia" w:ascii="宋体" w:hAnsi="宋体" w:eastAsia="宋体" w:cs="宋体"/>
                <w:b/>
                <w:color w:val="000000"/>
                <w:kern w:val="0"/>
                <w:sz w:val="21"/>
                <w:szCs w:val="21"/>
                <w:lang w:val="en-US" w:eastAsia="zh-CN"/>
              </w:rPr>
            </w:pPr>
            <w:r>
              <w:rPr>
                <w:rFonts w:hint="eastAsia" w:ascii="宋体" w:hAnsi="宋体" w:eastAsia="宋体" w:cs="宋体"/>
                <w:b/>
                <w:kern w:val="0"/>
                <w:sz w:val="21"/>
                <w:szCs w:val="21"/>
                <w:lang w:val="en-US" w:eastAsia="zh-CN"/>
              </w:rPr>
              <w:t>服务</w:t>
            </w:r>
          </w:p>
        </w:tc>
        <w:tc>
          <w:tcPr>
            <w:tcW w:w="716" w:type="dxa"/>
            <w:tcBorders>
              <w:top w:val="single" w:color="auto" w:sz="4" w:space="0"/>
              <w:left w:val="nil"/>
              <w:bottom w:val="single" w:color="auto" w:sz="4" w:space="0"/>
              <w:right w:val="single" w:color="auto" w:sz="4" w:space="0"/>
            </w:tcBorders>
            <w:shd w:val="clear" w:color="auto" w:fill="auto"/>
            <w:noWrap w:val="0"/>
            <w:vAlign w:val="center"/>
          </w:tcPr>
          <w:p w14:paraId="14DECCD9">
            <w:pPr>
              <w:widowControl/>
              <w:spacing w:after="0"/>
              <w:ind w:firstLine="0" w:firstLineChars="0"/>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10</w:t>
            </w:r>
          </w:p>
        </w:tc>
        <w:tc>
          <w:tcPr>
            <w:tcW w:w="4837" w:type="dxa"/>
            <w:tcBorders>
              <w:top w:val="single" w:color="auto" w:sz="4" w:space="0"/>
              <w:left w:val="nil"/>
              <w:bottom w:val="single" w:color="auto" w:sz="4" w:space="0"/>
              <w:right w:val="single" w:color="auto" w:sz="4" w:space="0"/>
            </w:tcBorders>
            <w:shd w:val="clear" w:color="auto" w:fill="auto"/>
            <w:noWrap w:val="0"/>
            <w:vAlign w:val="center"/>
          </w:tcPr>
          <w:p w14:paraId="1B832A0D">
            <w:pPr>
              <w:widowControl/>
              <w:spacing w:after="0" w:line="360" w:lineRule="auto"/>
              <w:ind w:firstLine="0" w:firstLineChars="0"/>
              <w:jc w:val="left"/>
              <w:rPr>
                <w:rFonts w:hint="eastAsia" w:ascii="宋体" w:hAnsi="宋体" w:eastAsia="宋体" w:cs="宋体"/>
                <w:kern w:val="0"/>
                <w:sz w:val="21"/>
                <w:szCs w:val="21"/>
              </w:rPr>
            </w:pPr>
          </w:p>
        </w:tc>
        <w:tc>
          <w:tcPr>
            <w:tcW w:w="1075" w:type="dxa"/>
            <w:tcBorders>
              <w:top w:val="single" w:color="auto" w:sz="4" w:space="0"/>
              <w:left w:val="nil"/>
              <w:bottom w:val="single" w:color="auto" w:sz="4" w:space="0"/>
              <w:right w:val="single" w:color="auto" w:sz="4" w:space="0"/>
            </w:tcBorders>
            <w:shd w:val="clear" w:color="auto" w:fill="auto"/>
            <w:noWrap w:val="0"/>
            <w:vAlign w:val="center"/>
          </w:tcPr>
          <w:p w14:paraId="5381691B">
            <w:pPr>
              <w:widowControl/>
              <w:spacing w:after="0" w:line="360" w:lineRule="auto"/>
              <w:ind w:firstLine="0" w:firstLineChars="0"/>
              <w:jc w:val="center"/>
              <w:rPr>
                <w:rFonts w:hint="eastAsia" w:ascii="宋体" w:hAnsi="宋体" w:eastAsia="宋体" w:cs="宋体"/>
                <w:color w:val="000000"/>
                <w:kern w:val="0"/>
                <w:sz w:val="21"/>
                <w:szCs w:val="21"/>
              </w:rPr>
            </w:pPr>
          </w:p>
        </w:tc>
      </w:tr>
      <w:tr w14:paraId="25FF3B55">
        <w:tblPrEx>
          <w:shd w:val="clear" w:color="auto" w:fill="auto"/>
          <w:tblCellMar>
            <w:top w:w="0" w:type="dxa"/>
            <w:left w:w="108" w:type="dxa"/>
            <w:bottom w:w="0" w:type="dxa"/>
            <w:right w:w="108" w:type="dxa"/>
          </w:tblCellMar>
        </w:tblPrEx>
        <w:trPr>
          <w:trHeight w:val="192" w:hRule="atLeast"/>
        </w:trPr>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07EE4">
            <w:pPr>
              <w:widowControl/>
              <w:spacing w:after="0"/>
              <w:ind w:firstLine="0" w:firstLineChars="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w:t>
            </w:r>
          </w:p>
        </w:tc>
        <w:tc>
          <w:tcPr>
            <w:tcW w:w="1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97BAD1">
            <w:pPr>
              <w:widowControl/>
              <w:spacing w:after="0"/>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整改及时性</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F973F3">
            <w:pPr>
              <w:spacing w:after="0"/>
              <w:ind w:firstLine="0" w:firstLineChars="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w:t>
            </w:r>
          </w:p>
        </w:tc>
        <w:tc>
          <w:tcPr>
            <w:tcW w:w="4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41C39C">
            <w:pPr>
              <w:widowControl/>
              <w:spacing w:after="0" w:line="360" w:lineRule="auto"/>
              <w:ind w:firstLine="0" w:firstLine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电站存在问题，应整改的，未在规定时间内完成整改的：</w:t>
            </w:r>
          </w:p>
          <w:p w14:paraId="0A1F7E44">
            <w:pPr>
              <w:widowControl/>
              <w:spacing w:after="0" w:line="360" w:lineRule="auto"/>
              <w:ind w:firstLine="0" w:firstLine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超过规定时限，但在超期时长不超过原规定时限50%的期限内完成整改，每次扣1分；</w:t>
            </w:r>
          </w:p>
          <w:p w14:paraId="07282FA1">
            <w:pPr>
              <w:widowControl/>
              <w:spacing w:after="0" w:line="360" w:lineRule="auto"/>
              <w:ind w:firstLine="0" w:firstLine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超期时长超过原规定时限50%，每次扣2分。</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0D9B2">
            <w:pPr>
              <w:widowControl/>
              <w:spacing w:after="0" w:line="360" w:lineRule="auto"/>
              <w:ind w:firstLine="0" w:firstLineChars="0"/>
              <w:jc w:val="center"/>
              <w:rPr>
                <w:rFonts w:hint="eastAsia" w:ascii="宋体" w:hAnsi="宋体" w:eastAsia="宋体" w:cs="宋体"/>
                <w:color w:val="000000"/>
                <w:kern w:val="0"/>
                <w:sz w:val="21"/>
                <w:szCs w:val="21"/>
              </w:rPr>
            </w:pPr>
          </w:p>
        </w:tc>
      </w:tr>
      <w:tr w14:paraId="63FE34A4">
        <w:tblPrEx>
          <w:tblCellMar>
            <w:top w:w="0" w:type="dxa"/>
            <w:left w:w="108" w:type="dxa"/>
            <w:bottom w:w="0" w:type="dxa"/>
            <w:right w:w="108" w:type="dxa"/>
          </w:tblCellMar>
        </w:tblPrEx>
        <w:trPr>
          <w:trHeight w:val="90" w:hRule="atLeast"/>
        </w:trPr>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6859A8">
            <w:pPr>
              <w:widowControl/>
              <w:spacing w:after="0"/>
              <w:ind w:firstLine="0" w:firstLineChars="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1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797BCB">
            <w:pPr>
              <w:widowControl/>
              <w:spacing w:after="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评价投诉率</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DFF831">
            <w:pPr>
              <w:spacing w:after="0"/>
              <w:ind w:firstLine="0" w:firstLineChars="0"/>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w:t>
            </w:r>
          </w:p>
        </w:tc>
        <w:tc>
          <w:tcPr>
            <w:tcW w:w="4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398493">
            <w:pPr>
              <w:widowControl/>
              <w:spacing w:after="0" w:line="360" w:lineRule="auto"/>
              <w:ind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根据各类渠道投诉信息对充电站点进行评定。</w:t>
            </w:r>
          </w:p>
          <w:p w14:paraId="0254C978">
            <w:pPr>
              <w:widowControl/>
              <w:spacing w:after="0" w:line="360" w:lineRule="auto"/>
              <w:ind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考核期内每个有效投诉扣1分，单个充电站最多扣3分。</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971C8B">
            <w:pPr>
              <w:widowControl/>
              <w:spacing w:after="0" w:line="360" w:lineRule="auto"/>
              <w:ind w:firstLine="0" w:firstLineChars="0"/>
              <w:jc w:val="center"/>
              <w:rPr>
                <w:rFonts w:hint="eastAsia" w:ascii="宋体" w:hAnsi="宋体" w:eastAsia="宋体" w:cs="宋体"/>
                <w:color w:val="000000"/>
                <w:kern w:val="0"/>
                <w:sz w:val="21"/>
                <w:szCs w:val="21"/>
              </w:rPr>
            </w:pPr>
          </w:p>
        </w:tc>
      </w:tr>
      <w:tr w14:paraId="26F59BCA">
        <w:tblPrEx>
          <w:tblCellMar>
            <w:top w:w="0" w:type="dxa"/>
            <w:left w:w="108" w:type="dxa"/>
            <w:bottom w:w="0" w:type="dxa"/>
            <w:right w:w="108" w:type="dxa"/>
          </w:tblCellMar>
        </w:tblPrEx>
        <w:trPr>
          <w:trHeight w:val="234" w:hRule="atLeast"/>
        </w:trPr>
        <w:tc>
          <w:tcPr>
            <w:tcW w:w="877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4C0B7B46">
            <w:pPr>
              <w:widowControl/>
              <w:spacing w:after="0" w:line="360" w:lineRule="auto"/>
              <w:ind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注：</w:t>
            </w:r>
          </w:p>
          <w:p w14:paraId="5034883A">
            <w:pPr>
              <w:widowControl/>
              <w:numPr>
                <w:ilvl w:val="0"/>
                <w:numId w:val="0"/>
              </w:numPr>
              <w:spacing w:after="0" w:line="360" w:lineRule="auto"/>
              <w:ind w:firstLine="0" w:firstLineChars="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1.被评价单位须严格遵循评价工作要求，主动、全面、及时地提交与评价内容相关的证明材料及数据，确保所提供资料真实、有效、完整；</w:t>
            </w:r>
          </w:p>
          <w:p w14:paraId="0D0B4910">
            <w:pPr>
              <w:widowControl/>
              <w:numPr>
                <w:ilvl w:val="0"/>
                <w:numId w:val="0"/>
              </w:numPr>
              <w:spacing w:after="0" w:line="360" w:lineRule="auto"/>
              <w:ind w:firstLine="0" w:firstLineChars="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2.评价工作以季度为考核周期，相关数据采集及考核均严格限定于对应季度周期内，超出该周期范围的数据将不予纳入考核范畴；</w:t>
            </w:r>
          </w:p>
          <w:p w14:paraId="72FF64C9">
            <w:pPr>
              <w:widowControl/>
              <w:numPr>
                <w:ilvl w:val="0"/>
                <w:numId w:val="0"/>
              </w:numPr>
              <w:spacing w:after="0" w:line="360" w:lineRule="auto"/>
              <w:ind w:firstLine="0" w:firstLineChars="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3.每个季度结束后一个月内完成考核；</w:t>
            </w:r>
          </w:p>
          <w:p w14:paraId="331B6996">
            <w:pPr>
              <w:widowControl/>
              <w:numPr>
                <w:ilvl w:val="0"/>
                <w:numId w:val="0"/>
              </w:numPr>
              <w:spacing w:after="0" w:line="360" w:lineRule="auto"/>
              <w:ind w:firstLine="0" w:firstLineChars="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4.该评价表中单枪服务费收入根据每年实际情况，采购人可进行合理调整。</w:t>
            </w:r>
          </w:p>
        </w:tc>
      </w:tr>
    </w:tbl>
    <w:p w14:paraId="4C0A9B78">
      <w:r>
        <w:br w:type="page"/>
      </w:r>
    </w:p>
    <w:p w14:paraId="73FB0CE3">
      <w:pPr>
        <w:keepNext/>
        <w:keepLines/>
        <w:spacing w:line="360" w:lineRule="auto"/>
        <w:jc w:val="center"/>
        <w:outlineLvl w:val="0"/>
        <w:rPr>
          <w:rFonts w:hint="eastAsia" w:ascii="仿宋_GB2312" w:hAnsi="仿宋_GB2312" w:eastAsia="仿宋_GB2312" w:cs="仿宋_GB2312"/>
          <w:b/>
          <w:bCs/>
          <w:color w:val="000000"/>
          <w:kern w:val="44"/>
          <w:sz w:val="40"/>
          <w:szCs w:val="40"/>
          <w:lang w:val="en-US" w:eastAsia="zh-CN"/>
        </w:rPr>
      </w:pPr>
      <w:r>
        <w:rPr>
          <w:rFonts w:hint="eastAsia" w:ascii="仿宋_GB2312" w:hAnsi="仿宋_GB2312" w:eastAsia="仿宋_GB2312" w:cs="仿宋_GB2312"/>
          <w:b/>
          <w:bCs/>
          <w:color w:val="000000"/>
          <w:kern w:val="44"/>
          <w:sz w:val="40"/>
          <w:szCs w:val="40"/>
          <w:lang w:val="en-US" w:eastAsia="zh-CN"/>
        </w:rPr>
        <w:t>五、投标文件组成</w:t>
      </w:r>
    </w:p>
    <w:p w14:paraId="661E2193"/>
    <w:p w14:paraId="2FE1D0AE"/>
    <w:p w14:paraId="50BB27C1">
      <w:pPr>
        <w:spacing w:line="360" w:lineRule="auto"/>
        <w:jc w:val="center"/>
        <w:rPr>
          <w:w w:val="90"/>
          <w:sz w:val="44"/>
          <w:szCs w:val="44"/>
        </w:rPr>
      </w:pPr>
      <w:r>
        <w:rPr>
          <w:rFonts w:ascii="宋体" w:hAnsi="宋体" w:eastAsia="宋体"/>
          <w:b/>
          <w:w w:val="90"/>
          <w:sz w:val="44"/>
          <w:szCs w:val="44"/>
        </w:rPr>
        <w:t>潮华光储充项目棉西超充站运营管理服务采购项目</w:t>
      </w:r>
    </w:p>
    <w:p w14:paraId="662186C0">
      <w:pPr>
        <w:spacing w:line="360" w:lineRule="auto"/>
        <w:jc w:val="center"/>
        <w:rPr>
          <w:sz w:val="44"/>
          <w:szCs w:val="44"/>
        </w:rPr>
      </w:pPr>
      <w:r>
        <w:rPr>
          <w:rFonts w:ascii="宋体" w:hAnsi="宋体" w:eastAsia="宋体"/>
          <w:b/>
          <w:sz w:val="44"/>
          <w:szCs w:val="44"/>
        </w:rPr>
        <w:t>投标文件</w:t>
      </w:r>
    </w:p>
    <w:p w14:paraId="19E9041D"/>
    <w:p w14:paraId="7C51F49B"/>
    <w:p w14:paraId="71653EE3"/>
    <w:p w14:paraId="26BD186E">
      <w:pPr>
        <w:rPr>
          <w:sz w:val="21"/>
          <w:szCs w:val="21"/>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6"/>
        <w:gridCol w:w="4156"/>
      </w:tblGrid>
      <w:tr w14:paraId="5AC8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6" w:type="dxa"/>
          </w:tcPr>
          <w:p w14:paraId="2C5F7ACE">
            <w:pPr>
              <w:keepNext w:val="0"/>
              <w:keepLines w:val="0"/>
              <w:pageBreakBefore w:val="0"/>
              <w:widowControl w:val="0"/>
              <w:kinsoku/>
              <w:wordWrap/>
              <w:overflowPunct/>
              <w:topLinePunct w:val="0"/>
              <w:autoSpaceDE/>
              <w:autoSpaceDN/>
              <w:bidi w:val="0"/>
              <w:adjustRightInd/>
              <w:snapToGrid/>
              <w:ind w:firstLine="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项目名称：</w:t>
            </w:r>
          </w:p>
        </w:tc>
        <w:tc>
          <w:tcPr>
            <w:tcW w:w="4156" w:type="dxa"/>
          </w:tcPr>
          <w:p w14:paraId="4F43B517">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sz w:val="32"/>
                <w:szCs w:val="32"/>
              </w:rPr>
            </w:pPr>
          </w:p>
        </w:tc>
      </w:tr>
      <w:tr w14:paraId="24D3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6" w:type="dxa"/>
          </w:tcPr>
          <w:p w14:paraId="4E149186">
            <w:pPr>
              <w:keepNext w:val="0"/>
              <w:keepLines w:val="0"/>
              <w:pageBreakBefore w:val="0"/>
              <w:widowControl w:val="0"/>
              <w:kinsoku/>
              <w:wordWrap/>
              <w:overflowPunct/>
              <w:topLinePunct w:val="0"/>
              <w:autoSpaceDE/>
              <w:autoSpaceDN/>
              <w:bidi w:val="0"/>
              <w:adjustRightInd/>
              <w:snapToGrid/>
              <w:ind w:firstLine="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投标人：</w:t>
            </w:r>
          </w:p>
        </w:tc>
        <w:tc>
          <w:tcPr>
            <w:tcW w:w="4156" w:type="dxa"/>
          </w:tcPr>
          <w:p w14:paraId="766FB81B">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sz w:val="32"/>
                <w:szCs w:val="32"/>
              </w:rPr>
            </w:pPr>
          </w:p>
        </w:tc>
      </w:tr>
      <w:tr w14:paraId="1906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6" w:type="dxa"/>
          </w:tcPr>
          <w:p w14:paraId="44814426">
            <w:pPr>
              <w:keepNext w:val="0"/>
              <w:keepLines w:val="0"/>
              <w:pageBreakBefore w:val="0"/>
              <w:widowControl w:val="0"/>
              <w:kinsoku/>
              <w:wordWrap/>
              <w:overflowPunct/>
              <w:topLinePunct w:val="0"/>
              <w:autoSpaceDE/>
              <w:autoSpaceDN/>
              <w:bidi w:val="0"/>
              <w:adjustRightInd/>
              <w:snapToGrid/>
              <w:ind w:firstLine="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法定代表人/单位负责人或其委托代理人：</w:t>
            </w:r>
          </w:p>
        </w:tc>
        <w:tc>
          <w:tcPr>
            <w:tcW w:w="4156" w:type="dxa"/>
          </w:tcPr>
          <w:p w14:paraId="0971BA79">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sz w:val="32"/>
                <w:szCs w:val="32"/>
              </w:rPr>
            </w:pPr>
          </w:p>
        </w:tc>
      </w:tr>
      <w:tr w14:paraId="1637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6" w:type="dxa"/>
          </w:tcPr>
          <w:p w14:paraId="5C66C1BF">
            <w:pPr>
              <w:keepNext w:val="0"/>
              <w:keepLines w:val="0"/>
              <w:pageBreakBefore w:val="0"/>
              <w:widowControl w:val="0"/>
              <w:kinsoku/>
              <w:wordWrap/>
              <w:overflowPunct/>
              <w:topLinePunct w:val="0"/>
              <w:autoSpaceDE/>
              <w:autoSpaceDN/>
              <w:bidi w:val="0"/>
              <w:adjustRightInd/>
              <w:snapToGrid/>
              <w:ind w:firstLine="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日期：</w:t>
            </w:r>
          </w:p>
        </w:tc>
        <w:tc>
          <w:tcPr>
            <w:tcW w:w="4156" w:type="dxa"/>
          </w:tcPr>
          <w:p w14:paraId="3F7FAA0C">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宋体"/>
                <w:sz w:val="32"/>
                <w:szCs w:val="32"/>
              </w:rPr>
            </w:pPr>
            <w:r>
              <w:rPr>
                <w:rFonts w:hint="eastAsia" w:ascii="宋体" w:hAnsi="宋体" w:eastAsia="宋体" w:cs="宋体"/>
                <w:b/>
                <w:bCs/>
                <w:sz w:val="32"/>
                <w:szCs w:val="32"/>
              </w:rPr>
              <w:t>年 月 日</w:t>
            </w:r>
          </w:p>
        </w:tc>
      </w:tr>
    </w:tbl>
    <w:p w14:paraId="164204D0">
      <w:r>
        <w:br w:type="page"/>
      </w:r>
    </w:p>
    <w:p w14:paraId="3B3F32C9">
      <w:pPr>
        <w:keepNext w:val="0"/>
        <w:keepLines w:val="0"/>
        <w:pageBreakBefore w:val="0"/>
        <w:widowControl/>
        <w:kinsoku/>
        <w:wordWrap/>
        <w:overflowPunct/>
        <w:topLinePunct w:val="0"/>
        <w:autoSpaceDE/>
        <w:autoSpaceDN/>
        <w:bidi w:val="0"/>
        <w:adjustRightInd/>
        <w:snapToGrid/>
        <w:spacing w:after="0" w:line="440" w:lineRule="atLeast"/>
        <w:ind w:firstLine="283"/>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目录</w:t>
      </w:r>
    </w:p>
    <w:p w14:paraId="1FA1C952">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一、资格审查文件部分</w:t>
      </w:r>
    </w:p>
    <w:p w14:paraId="73C9B6AB">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A1、营业执照</w:t>
      </w:r>
    </w:p>
    <w:p w14:paraId="4DF87FD7">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A2、《投标函》</w:t>
      </w:r>
    </w:p>
    <w:p w14:paraId="6752F383">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A3、《法定代表人资格证明书》</w:t>
      </w:r>
    </w:p>
    <w:p w14:paraId="6B06DDDE">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A4、《法定代表人授权委托书》</w:t>
      </w:r>
    </w:p>
    <w:p w14:paraId="13C66200">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A5、投标人情况介绍</w:t>
      </w:r>
    </w:p>
    <w:p w14:paraId="01E86C16">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A6、其他</w:t>
      </w:r>
    </w:p>
    <w:p w14:paraId="02C2AD85">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二、商务标部分</w:t>
      </w:r>
    </w:p>
    <w:p w14:paraId="0FDB95C6">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B1、实质性条款响应情况表</w:t>
      </w:r>
    </w:p>
    <w:p w14:paraId="5176718F">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B2、充电平台日均活跃人数</w:t>
      </w:r>
    </w:p>
    <w:p w14:paraId="18CC7DCD">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B3、充电平台快充电站数量</w:t>
      </w:r>
    </w:p>
    <w:p w14:paraId="434211AE">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B4、故障响应时间</w:t>
      </w:r>
    </w:p>
    <w:p w14:paraId="34A53CE9">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B5、结算规则</w:t>
      </w:r>
    </w:p>
    <w:p w14:paraId="67A0035C">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B6、相关业绩</w:t>
      </w:r>
    </w:p>
    <w:p w14:paraId="237108C1">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B7、其他</w:t>
      </w:r>
    </w:p>
    <w:p w14:paraId="467FEE50">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三、技术标部分</w:t>
      </w:r>
    </w:p>
    <w:p w14:paraId="2489EFF0">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C1、管理方案</w:t>
      </w:r>
    </w:p>
    <w:p w14:paraId="5C2A5822">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C2、营销方案</w:t>
      </w:r>
    </w:p>
    <w:p w14:paraId="6E7DF23C">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C3、其他</w:t>
      </w:r>
    </w:p>
    <w:p w14:paraId="34B7B999">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四、价格标部分</w:t>
      </w:r>
    </w:p>
    <w:p w14:paraId="10B99AE0">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D1、投标报价一览表</w:t>
      </w:r>
    </w:p>
    <w:p w14:paraId="324F04E4">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D2、其他</w:t>
      </w:r>
    </w:p>
    <w:p w14:paraId="5FFCD2B2">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br w:type="page"/>
      </w:r>
    </w:p>
    <w:p w14:paraId="47909535">
      <w:pPr>
        <w:keepNext w:val="0"/>
        <w:keepLines w:val="0"/>
        <w:pageBreakBefore w:val="0"/>
        <w:widowControl/>
        <w:kinsoku/>
        <w:wordWrap/>
        <w:overflowPunct/>
        <w:topLinePunct w:val="0"/>
        <w:autoSpaceDE/>
        <w:autoSpaceDN/>
        <w:bidi w:val="0"/>
        <w:adjustRightInd/>
        <w:snapToGrid/>
        <w:spacing w:line="440" w:lineRule="atLeast"/>
        <w:ind w:firstLine="283"/>
        <w:jc w:val="center"/>
        <w:textAlignment w:val="auto"/>
        <w:rPr>
          <w:rFonts w:hint="eastAsia" w:ascii="宋体" w:hAnsi="宋体" w:eastAsia="宋体" w:cs="宋体"/>
          <w:b w:val="0"/>
          <w:sz w:val="24"/>
          <w:szCs w:val="24"/>
        </w:rPr>
      </w:pPr>
      <w:r>
        <w:rPr>
          <w:rFonts w:hint="eastAsia" w:ascii="宋体" w:hAnsi="宋体" w:eastAsia="宋体" w:cs="宋体"/>
          <w:b w:val="0"/>
          <w:sz w:val="24"/>
          <w:szCs w:val="24"/>
        </w:rPr>
        <w:t>一、资格审查文件部分</w:t>
      </w:r>
    </w:p>
    <w:p w14:paraId="010D5624">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A1、营业执照</w:t>
      </w:r>
    </w:p>
    <w:p w14:paraId="40F17AA6">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投标人营业执照</w:t>
      </w:r>
    </w:p>
    <w:p w14:paraId="41BCC5A2">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A2、《投标函》</w:t>
      </w:r>
    </w:p>
    <w:p w14:paraId="2BB15435">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hint="eastAsia" w:ascii="宋体" w:hAnsi="宋体" w:eastAsia="宋体" w:cs="宋体"/>
          <w:b/>
          <w:bCs/>
          <w:sz w:val="24"/>
          <w:szCs w:val="24"/>
        </w:rPr>
      </w:pPr>
      <w:r>
        <w:rPr>
          <w:rFonts w:hint="eastAsia" w:ascii="宋体" w:hAnsi="宋体" w:eastAsia="宋体" w:cs="宋体"/>
          <w:b/>
          <w:bCs/>
          <w:sz w:val="32"/>
          <w:szCs w:val="32"/>
        </w:rPr>
        <w:t>附件</w:t>
      </w:r>
      <w:r>
        <w:rPr>
          <w:rFonts w:hint="eastAsia" w:ascii="宋体" w:hAnsi="宋体" w:eastAsia="宋体" w:cs="宋体"/>
          <w:b/>
          <w:bCs/>
          <w:sz w:val="24"/>
          <w:szCs w:val="24"/>
        </w:rPr>
        <w:t>：</w:t>
      </w:r>
    </w:p>
    <w:p w14:paraId="7FC93F63">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32"/>
          <w:szCs w:val="32"/>
        </w:rPr>
      </w:pPr>
      <w:r>
        <w:rPr>
          <w:rFonts w:hint="eastAsia" w:ascii="宋体" w:hAnsi="宋体" w:eastAsia="宋体" w:cs="宋体"/>
          <w:b/>
          <w:sz w:val="32"/>
          <w:szCs w:val="32"/>
        </w:rPr>
        <w:t>投标函</w:t>
      </w:r>
    </w:p>
    <w:p w14:paraId="04299137">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sz w:val="24"/>
          <w:szCs w:val="24"/>
          <w:u w:val="single"/>
        </w:rPr>
      </w:pPr>
      <w:r>
        <w:rPr>
          <w:rFonts w:hint="eastAsia" w:ascii="宋体" w:hAnsi="宋体" w:eastAsia="宋体" w:cs="宋体"/>
          <w:b w:val="0"/>
          <w:sz w:val="24"/>
          <w:szCs w:val="24"/>
        </w:rPr>
        <w:t>致：</w:t>
      </w:r>
      <w:r>
        <w:rPr>
          <w:rFonts w:hint="eastAsia" w:ascii="宋体" w:hAnsi="宋体" w:eastAsia="宋体" w:cs="宋体"/>
          <w:b w:val="0"/>
          <w:sz w:val="24"/>
          <w:szCs w:val="24"/>
          <w:u w:val="single"/>
        </w:rPr>
        <w:t>汕头市潮华产业园区运营管理有限公司</w:t>
      </w:r>
    </w:p>
    <w:p w14:paraId="6C143693">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sz w:val="24"/>
          <w:szCs w:val="24"/>
        </w:rPr>
      </w:pPr>
      <w:r>
        <w:rPr>
          <w:rFonts w:hint="eastAsia" w:ascii="宋体" w:hAnsi="宋体" w:eastAsia="宋体" w:cs="宋体"/>
          <w:b w:val="0"/>
          <w:sz w:val="24"/>
          <w:szCs w:val="24"/>
        </w:rPr>
        <w:t>根据你方的潮华光储充项目棉西超充站运营管理服务采购项目招标文件，遵照《中华人民共和国招标投标法》等相关规定，经踏勘项目现场和研究上述招标文件及其他有关文件之后，</w:t>
      </w:r>
      <w:r>
        <w:rPr>
          <w:rFonts w:hint="eastAsia" w:ascii="宋体" w:hAnsi="宋体" w:eastAsia="宋体" w:cs="宋体"/>
          <w:b w:val="0"/>
          <w:sz w:val="24"/>
          <w:szCs w:val="24"/>
          <w:highlight w:val="none"/>
        </w:rPr>
        <w:t>我方作为签署人愿以服务费收入的</w:t>
      </w:r>
      <w:r>
        <w:rPr>
          <w:rFonts w:hint="eastAsia" w:ascii="宋体" w:hAnsi="宋体" w:eastAsia="宋体" w:cs="宋体"/>
          <w:b w:val="0"/>
          <w:sz w:val="24"/>
          <w:szCs w:val="24"/>
          <w:highlight w:val="none"/>
          <w:u w:val="single"/>
          <w:lang w:val="en-US" w:eastAsia="zh-CN"/>
        </w:rPr>
        <w:t xml:space="preserve">      </w:t>
      </w:r>
      <w:r>
        <w:rPr>
          <w:rFonts w:hint="eastAsia" w:ascii="宋体" w:hAnsi="宋体" w:eastAsia="宋体" w:cs="宋体"/>
          <w:b w:val="0"/>
          <w:sz w:val="24"/>
          <w:szCs w:val="24"/>
          <w:highlight w:val="none"/>
        </w:rPr>
        <w:t>%对该项目进行报价</w:t>
      </w:r>
      <w:r>
        <w:rPr>
          <w:rFonts w:hint="eastAsia" w:ascii="宋体" w:hAnsi="宋体" w:eastAsia="宋体" w:cs="宋体"/>
          <w:b w:val="0"/>
          <w:sz w:val="24"/>
          <w:szCs w:val="24"/>
        </w:rPr>
        <w:t>。并按上述招标文件及其他有关文件约定的条件承担上述产业定位任务，并承担任何质量缺陷的修改完善责任。</w:t>
      </w:r>
    </w:p>
    <w:p w14:paraId="1516E4E5">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sz w:val="24"/>
          <w:szCs w:val="24"/>
        </w:rPr>
      </w:pPr>
      <w:r>
        <w:rPr>
          <w:rFonts w:hint="eastAsia" w:ascii="宋体" w:hAnsi="宋体" w:eastAsia="宋体" w:cs="宋体"/>
          <w:b w:val="0"/>
          <w:sz w:val="24"/>
          <w:szCs w:val="24"/>
        </w:rPr>
        <w:t>2、我方保证，如果我方的投标被接受，将在甲方规定的时间内完成本项目运营服务开展工作。</w:t>
      </w:r>
    </w:p>
    <w:p w14:paraId="1C350DC0">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sz w:val="24"/>
          <w:szCs w:val="24"/>
        </w:rPr>
      </w:pPr>
      <w:r>
        <w:rPr>
          <w:rFonts w:hint="eastAsia" w:ascii="宋体" w:hAnsi="宋体" w:eastAsia="宋体" w:cs="宋体"/>
          <w:b w:val="0"/>
          <w:sz w:val="24"/>
          <w:szCs w:val="24"/>
        </w:rPr>
        <w:t>3、我方同意在收到从规定的</w:t>
      </w:r>
      <w:r>
        <w:rPr>
          <w:rFonts w:hint="eastAsia" w:ascii="宋体" w:hAnsi="宋体" w:eastAsia="宋体" w:cs="宋体"/>
          <w:b w:val="0"/>
          <w:sz w:val="24"/>
          <w:szCs w:val="24"/>
          <w:highlight w:val="none"/>
        </w:rPr>
        <w:t>投标之日起</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sz w:val="24"/>
          <w:szCs w:val="24"/>
          <w:highlight w:val="none"/>
        </w:rPr>
        <w:t>天</w:t>
      </w:r>
      <w:r>
        <w:rPr>
          <w:rFonts w:hint="eastAsia" w:ascii="宋体" w:hAnsi="宋体" w:eastAsia="宋体" w:cs="宋体"/>
          <w:b w:val="0"/>
          <w:sz w:val="24"/>
          <w:szCs w:val="24"/>
        </w:rPr>
        <w:t>内遵守本投标，在此期限届满之前，本投标书将始终对我方具有约束力并可随时被接受。</w:t>
      </w:r>
    </w:p>
    <w:p w14:paraId="17F0A2AF">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sz w:val="24"/>
          <w:szCs w:val="24"/>
        </w:rPr>
      </w:pPr>
      <w:r>
        <w:rPr>
          <w:rFonts w:hint="eastAsia" w:ascii="宋体" w:hAnsi="宋体" w:eastAsia="宋体" w:cs="宋体"/>
          <w:b w:val="0"/>
          <w:sz w:val="24"/>
          <w:szCs w:val="24"/>
        </w:rPr>
        <w:t>4、在制定并签署及执行正式合同以前，本投标书连同你方发出的书面文件，将作为你我双方之间的约束合同的组成部分。</w:t>
      </w:r>
    </w:p>
    <w:p w14:paraId="2357F5E5">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sz w:val="24"/>
          <w:szCs w:val="24"/>
        </w:rPr>
      </w:pPr>
      <w:r>
        <w:rPr>
          <w:rFonts w:hint="eastAsia" w:ascii="宋体" w:hAnsi="宋体" w:eastAsia="宋体" w:cs="宋体"/>
          <w:b w:val="0"/>
          <w:sz w:val="24"/>
          <w:szCs w:val="24"/>
        </w:rPr>
        <w:t>5、我方理解，你方并无义务必须接受你方所收到的价格最低的任何投标。</w:t>
      </w:r>
    </w:p>
    <w:p w14:paraId="01F9B069">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sz w:val="24"/>
          <w:szCs w:val="24"/>
        </w:rPr>
      </w:pPr>
      <w:r>
        <w:rPr>
          <w:rFonts w:hint="eastAsia" w:ascii="宋体" w:hAnsi="宋体" w:eastAsia="宋体" w:cs="宋体"/>
          <w:b w:val="0"/>
          <w:sz w:val="24"/>
          <w:szCs w:val="24"/>
        </w:rPr>
        <w:t>6、我方保证在此次招标期间，不以任何方式行贿及搞不正之风，如有发现，愿取消投标资格及接受有关部门的查处。</w:t>
      </w:r>
    </w:p>
    <w:p w14:paraId="7FD21D46">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sz w:val="24"/>
          <w:szCs w:val="24"/>
        </w:rPr>
      </w:pPr>
      <w:r>
        <w:rPr>
          <w:rFonts w:hint="eastAsia" w:ascii="宋体" w:hAnsi="宋体" w:eastAsia="宋体" w:cs="宋体"/>
          <w:b w:val="0"/>
          <w:sz w:val="24"/>
          <w:szCs w:val="24"/>
        </w:rPr>
        <w:t>7、其它附注：</w:t>
      </w:r>
    </w:p>
    <w:p w14:paraId="19BF206B">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sz w:val="24"/>
          <w:szCs w:val="24"/>
        </w:rPr>
      </w:pPr>
      <w:r>
        <w:rPr>
          <w:rFonts w:hint="eastAsia" w:ascii="宋体" w:hAnsi="宋体" w:eastAsia="宋体" w:cs="宋体"/>
          <w:b w:val="0"/>
          <w:sz w:val="24"/>
          <w:szCs w:val="24"/>
        </w:rPr>
        <w:t>投标公司名称（盖章）：________________</w:t>
      </w:r>
    </w:p>
    <w:p w14:paraId="1B2C8AE2">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sz w:val="24"/>
          <w:szCs w:val="24"/>
        </w:rPr>
      </w:pPr>
      <w:r>
        <w:rPr>
          <w:rFonts w:hint="eastAsia" w:ascii="宋体" w:hAnsi="宋体" w:eastAsia="宋体" w:cs="宋体"/>
          <w:b w:val="0"/>
          <w:sz w:val="24"/>
          <w:szCs w:val="24"/>
        </w:rPr>
        <w:t>投标单位法定代表人（签名）：________________</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职务：________________</w:t>
      </w:r>
    </w:p>
    <w:p w14:paraId="16A7DEB4">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sz w:val="24"/>
          <w:szCs w:val="24"/>
        </w:rPr>
      </w:pPr>
      <w:r>
        <w:rPr>
          <w:rFonts w:hint="eastAsia" w:ascii="宋体" w:hAnsi="宋体" w:eastAsia="宋体" w:cs="宋体"/>
          <w:b w:val="0"/>
          <w:sz w:val="24"/>
          <w:szCs w:val="24"/>
        </w:rPr>
        <w:t>联系地址：________________</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电话：________________</w:t>
      </w:r>
    </w:p>
    <w:p w14:paraId="2566DF55">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sz w:val="24"/>
          <w:szCs w:val="24"/>
        </w:rPr>
      </w:pPr>
      <w:r>
        <w:rPr>
          <w:rFonts w:hint="eastAsia" w:ascii="宋体" w:hAnsi="宋体" w:eastAsia="宋体" w:cs="宋体"/>
          <w:b w:val="0"/>
          <w:sz w:val="24"/>
          <w:szCs w:val="24"/>
        </w:rPr>
        <w:t>邮政编码：________________</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开户银行帐号：________________</w:t>
      </w:r>
    </w:p>
    <w:p w14:paraId="6719455C">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sz w:val="24"/>
          <w:szCs w:val="24"/>
        </w:rPr>
      </w:pPr>
      <w:r>
        <w:rPr>
          <w:rFonts w:hint="eastAsia" w:ascii="宋体" w:hAnsi="宋体" w:eastAsia="宋体" w:cs="宋体"/>
          <w:b w:val="0"/>
          <w:sz w:val="24"/>
          <w:szCs w:val="24"/>
        </w:rPr>
        <w:t>投标日期：________________</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投标地点：________________</w:t>
      </w:r>
    </w:p>
    <w:p w14:paraId="1BFB2313">
      <w:pPr>
        <w:keepNext w:val="0"/>
        <w:keepLines w:val="0"/>
        <w:pageBreakBefore w:val="0"/>
        <w:widowControl/>
        <w:kinsoku/>
        <w:wordWrap/>
        <w:overflowPunct/>
        <w:topLinePunct w:val="0"/>
        <w:autoSpaceDE/>
        <w:autoSpaceDN/>
        <w:bidi w:val="0"/>
        <w:adjustRightInd/>
        <w:snapToGrid/>
        <w:spacing w:after="0" w:line="440" w:lineRule="atLeast"/>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05AE4B3">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A3、《法定代表人资格证明书》</w:t>
      </w:r>
    </w:p>
    <w:p w14:paraId="7BA304CE">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附件：</w:t>
      </w:r>
    </w:p>
    <w:p w14:paraId="511EE22F">
      <w:pPr>
        <w:keepNext w:val="0"/>
        <w:keepLines w:val="0"/>
        <w:pageBreakBefore w:val="0"/>
        <w:widowControl/>
        <w:kinsoku/>
        <w:wordWrap/>
        <w:overflowPunct/>
        <w:topLinePunct w:val="0"/>
        <w:autoSpaceDE/>
        <w:autoSpaceDN/>
        <w:bidi w:val="0"/>
        <w:adjustRightInd/>
        <w:snapToGrid/>
        <w:spacing w:after="0" w:line="440" w:lineRule="atLeast"/>
        <w:ind w:firstLine="283"/>
        <w:jc w:val="center"/>
        <w:textAlignment w:val="auto"/>
        <w:rPr>
          <w:rFonts w:hint="eastAsia" w:ascii="宋体" w:hAnsi="宋体" w:eastAsia="宋体" w:cs="宋体"/>
          <w:b/>
          <w:bCs/>
          <w:sz w:val="24"/>
          <w:szCs w:val="24"/>
        </w:rPr>
      </w:pPr>
      <w:r>
        <w:rPr>
          <w:rFonts w:hint="eastAsia" w:ascii="宋体" w:hAnsi="宋体" w:eastAsia="宋体" w:cs="宋体"/>
          <w:b/>
          <w:bCs/>
          <w:sz w:val="32"/>
          <w:szCs w:val="32"/>
        </w:rPr>
        <w:t>法定代表人资格证明书</w:t>
      </w:r>
    </w:p>
    <w:p w14:paraId="2574EE07">
      <w:pPr>
        <w:keepNext w:val="0"/>
        <w:keepLines w:val="0"/>
        <w:pageBreakBefore w:val="0"/>
        <w:widowControl/>
        <w:kinsoku/>
        <w:wordWrap/>
        <w:overflowPunct/>
        <w:topLinePunct w:val="0"/>
        <w:autoSpaceDE/>
        <w:autoSpaceDN/>
        <w:bidi w:val="0"/>
        <w:adjustRightInd/>
        <w:snapToGrid/>
        <w:spacing w:after="0" w:line="440" w:lineRule="atLeast"/>
        <w:ind w:firstLine="283"/>
        <w:jc w:val="center"/>
        <w:textAlignment w:val="auto"/>
        <w:rPr>
          <w:rFonts w:hint="eastAsia" w:ascii="宋体" w:hAnsi="宋体" w:eastAsia="宋体" w:cs="宋体"/>
          <w:b w:val="0"/>
          <w:sz w:val="24"/>
          <w:szCs w:val="24"/>
        </w:rPr>
      </w:pPr>
      <w:r>
        <w:rPr>
          <w:rFonts w:hint="eastAsia" w:ascii="宋体" w:hAnsi="宋体" w:eastAsia="宋体" w:cs="宋体"/>
          <w:b w:val="0"/>
          <w:sz w:val="24"/>
          <w:szCs w:val="24"/>
        </w:rPr>
        <w:t>（附法人身份证明）</w:t>
      </w:r>
    </w:p>
    <w:p w14:paraId="4B99DCEA">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单位名称：________________________________________________</w:t>
      </w:r>
    </w:p>
    <w:p w14:paraId="52239813">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地</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址：________________________________________________</w:t>
      </w:r>
    </w:p>
    <w:p w14:paraId="70F23417">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姓</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名：________</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性</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别：________年</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龄：________</w:t>
      </w:r>
    </w:p>
    <w:p w14:paraId="1A4E0108">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职</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务：____________</w:t>
      </w:r>
    </w:p>
    <w:p w14:paraId="5B4E8AD3">
      <w:pPr>
        <w:keepNext w:val="0"/>
        <w:keepLines w:val="0"/>
        <w:pageBreakBefore w:val="0"/>
        <w:widowControl/>
        <w:kinsoku/>
        <w:wordWrap/>
        <w:overflowPunct/>
        <w:topLinePunct w:val="0"/>
        <w:autoSpaceDE/>
        <w:autoSpaceDN/>
        <w:bidi w:val="0"/>
        <w:adjustRightInd/>
        <w:snapToGrid/>
        <w:spacing w:after="0" w:line="440" w:lineRule="atLeast"/>
        <w:ind w:firstLine="1134"/>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系________________的法定代表人。为潮华光储充项目棉西超充站运营管理服务采购项目，签署上述工程的投标文件、进行合同谈判、签署合同和处理与之有关的一切事务。</w:t>
      </w:r>
    </w:p>
    <w:p w14:paraId="6C7D7121">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特此证明。</w:t>
      </w:r>
    </w:p>
    <w:p w14:paraId="0C551422">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4"/>
          <w:szCs w:val="24"/>
        </w:rPr>
      </w:pPr>
    </w:p>
    <w:p w14:paraId="58848621">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单位地址：________________________________________________</w:t>
      </w:r>
    </w:p>
    <w:p w14:paraId="269BF84D">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法定代表人：（签字或印鉴）</w:t>
      </w:r>
    </w:p>
    <w:p w14:paraId="76B99E46">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邮政编码：________________</w:t>
      </w:r>
    </w:p>
    <w:p w14:paraId="3A10D415">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电</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话：________________</w:t>
      </w:r>
    </w:p>
    <w:p w14:paraId="6DF86C9B">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传</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真：________________</w:t>
      </w:r>
    </w:p>
    <w:p w14:paraId="40F2B4F2">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开户银行名称：_____________________________________________</w:t>
      </w:r>
    </w:p>
    <w:p w14:paraId="7A095738">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银行账号：________________</w:t>
      </w:r>
    </w:p>
    <w:p w14:paraId="2CFE6CAB">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开户行地址：_______________________________________________</w:t>
      </w:r>
    </w:p>
    <w:p w14:paraId="233863E4">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投标人：（公章）</w:t>
      </w:r>
    </w:p>
    <w:p w14:paraId="21952D9B">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日期：    年    月    日</w:t>
      </w:r>
    </w:p>
    <w:p w14:paraId="56F4FA49">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br w:type="page"/>
      </w:r>
    </w:p>
    <w:p w14:paraId="5AC90E6F">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A4、《法定代表人授权委托书》</w:t>
      </w:r>
    </w:p>
    <w:p w14:paraId="057EFF5F">
      <w:pPr>
        <w:keepNext w:val="0"/>
        <w:keepLines w:val="0"/>
        <w:pageBreakBefore w:val="0"/>
        <w:widowControl/>
        <w:kinsoku/>
        <w:wordWrap/>
        <w:overflowPunct/>
        <w:topLinePunct w:val="0"/>
        <w:autoSpaceDE/>
        <w:autoSpaceDN/>
        <w:bidi w:val="0"/>
        <w:adjustRightInd/>
        <w:snapToGrid/>
        <w:spacing w:after="0" w:line="440" w:lineRule="atLeast"/>
        <w:ind w:firstLine="283"/>
        <w:jc w:val="both"/>
        <w:textAlignment w:val="auto"/>
        <w:rPr>
          <w:rFonts w:hint="eastAsia" w:ascii="宋体" w:hAnsi="宋体" w:eastAsia="宋体" w:cs="宋体"/>
          <w:b/>
          <w:bCs/>
          <w:sz w:val="32"/>
          <w:szCs w:val="32"/>
        </w:rPr>
      </w:pPr>
      <w:r>
        <w:rPr>
          <w:rFonts w:hint="eastAsia" w:ascii="宋体" w:hAnsi="宋体" w:eastAsia="宋体" w:cs="宋体"/>
          <w:b/>
          <w:bCs/>
          <w:sz w:val="32"/>
          <w:szCs w:val="32"/>
        </w:rPr>
        <w:t>附件：</w:t>
      </w:r>
    </w:p>
    <w:p w14:paraId="116464E9">
      <w:pPr>
        <w:keepNext w:val="0"/>
        <w:keepLines w:val="0"/>
        <w:pageBreakBefore w:val="0"/>
        <w:widowControl/>
        <w:kinsoku/>
        <w:wordWrap/>
        <w:overflowPunct/>
        <w:topLinePunct w:val="0"/>
        <w:autoSpaceDE/>
        <w:autoSpaceDN/>
        <w:bidi w:val="0"/>
        <w:adjustRightInd/>
        <w:snapToGrid/>
        <w:spacing w:after="0" w:line="440" w:lineRule="atLeast"/>
        <w:ind w:firstLine="283"/>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法定代表人授权委托书</w:t>
      </w:r>
    </w:p>
    <w:p w14:paraId="15EDAC90">
      <w:pPr>
        <w:keepNext w:val="0"/>
        <w:keepLines w:val="0"/>
        <w:pageBreakBefore w:val="0"/>
        <w:widowControl/>
        <w:kinsoku/>
        <w:wordWrap/>
        <w:overflowPunct/>
        <w:topLinePunct w:val="0"/>
        <w:autoSpaceDE/>
        <w:autoSpaceDN/>
        <w:bidi w:val="0"/>
        <w:adjustRightInd/>
        <w:snapToGrid/>
        <w:spacing w:after="0" w:line="440" w:lineRule="atLeast"/>
        <w:ind w:firstLine="283"/>
        <w:jc w:val="center"/>
        <w:textAlignment w:val="auto"/>
        <w:rPr>
          <w:rFonts w:hint="eastAsia" w:ascii="宋体" w:hAnsi="宋体" w:eastAsia="宋体" w:cs="宋体"/>
          <w:b w:val="0"/>
          <w:sz w:val="24"/>
          <w:szCs w:val="24"/>
        </w:rPr>
      </w:pPr>
      <w:r>
        <w:rPr>
          <w:rFonts w:hint="eastAsia" w:ascii="宋体" w:hAnsi="宋体" w:eastAsia="宋体" w:cs="宋体"/>
          <w:b w:val="0"/>
          <w:sz w:val="24"/>
          <w:szCs w:val="24"/>
        </w:rPr>
        <w:t>（附委托人身份证明）</w:t>
      </w:r>
    </w:p>
    <w:p w14:paraId="0A0EC44E">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p>
    <w:p w14:paraId="548135C4">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u w:val="single"/>
          <w:lang w:eastAsia="zh-CN"/>
        </w:rPr>
      </w:pPr>
      <w:r>
        <w:rPr>
          <w:rFonts w:hint="eastAsia" w:ascii="宋体" w:hAnsi="宋体" w:eastAsia="宋体" w:cs="宋体"/>
          <w:b w:val="0"/>
          <w:sz w:val="24"/>
          <w:szCs w:val="24"/>
          <w:u w:val="single"/>
        </w:rPr>
        <w:t>汕头市潮华产业园区运营管理有限公司</w:t>
      </w:r>
      <w:r>
        <w:rPr>
          <w:rFonts w:hint="eastAsia" w:ascii="宋体" w:hAnsi="宋体" w:eastAsia="宋体" w:cs="宋体"/>
          <w:b w:val="0"/>
          <w:sz w:val="24"/>
          <w:szCs w:val="24"/>
          <w:u w:val="single"/>
          <w:lang w:eastAsia="zh-CN"/>
        </w:rPr>
        <w:t>：</w:t>
      </w:r>
    </w:p>
    <w:p w14:paraId="65B928E3">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本授权委托书声明：我________（姓名）系________（投标人名称）的法定代表人，现授权委托________（单位名称）的________（姓名）为我公司代理人，以本公司的名义参加汕头市潮华产业园区运营管理有限公司的潮华光储充项目棉西超充站运营管理服务采购项目的投标活动。代理人在开标、评标、合同谈判过程中所签署的一切文件和处理与之有关的一切事务，我均予以承认。</w:t>
      </w:r>
    </w:p>
    <w:p w14:paraId="6982C521">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p>
    <w:p w14:paraId="2F9820AD">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代理人无转委权，特此委托。</w:t>
      </w:r>
    </w:p>
    <w:p w14:paraId="5761FE5B">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p>
    <w:p w14:paraId="44B73653">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代理人：_________________</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性</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别</w:t>
      </w:r>
      <w:r>
        <w:rPr>
          <w:rFonts w:hint="eastAsia" w:ascii="宋体" w:hAnsi="宋体" w:eastAsia="宋体" w:cs="宋体"/>
          <w:b w:val="0"/>
          <w:sz w:val="24"/>
          <w:szCs w:val="24"/>
          <w:lang w:eastAsia="zh-CN"/>
        </w:rPr>
        <w:t>：</w:t>
      </w:r>
      <w:r>
        <w:rPr>
          <w:rFonts w:hint="eastAsia" w:ascii="宋体" w:hAnsi="宋体" w:eastAsia="宋体" w:cs="宋体"/>
          <w:b w:val="0"/>
          <w:sz w:val="24"/>
          <w:szCs w:val="24"/>
        </w:rPr>
        <w:t>_________________________</w:t>
      </w:r>
    </w:p>
    <w:p w14:paraId="1CE19FEE">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年</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龄：_________________</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身份证号___________________________</w:t>
      </w:r>
    </w:p>
    <w:p w14:paraId="24A0091F">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单</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位：_________________</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部</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门：_________________________</w:t>
      </w:r>
    </w:p>
    <w:p w14:paraId="7F3F265A">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职</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务：_________________</w:t>
      </w:r>
    </w:p>
    <w:p w14:paraId="456EA29F">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p>
    <w:p w14:paraId="214B1F0E">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p>
    <w:p w14:paraId="4D026476">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投标人：（公章）</w:t>
      </w:r>
    </w:p>
    <w:p w14:paraId="20E0D13E">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rPr>
        <w:t>法定代表人：（签字或印鉴）</w:t>
      </w:r>
      <w:r>
        <w:rPr>
          <w:rFonts w:hint="eastAsia" w:ascii="宋体" w:hAnsi="宋体" w:eastAsia="宋体" w:cs="宋体"/>
          <w:b w:val="0"/>
          <w:sz w:val="24"/>
          <w:szCs w:val="24"/>
          <w:lang w:val="en-US" w:eastAsia="zh-CN"/>
        </w:rPr>
        <w:t xml:space="preserve"> </w:t>
      </w:r>
    </w:p>
    <w:p w14:paraId="7EC46A7D">
      <w:pPr>
        <w:keepNext w:val="0"/>
        <w:keepLines w:val="0"/>
        <w:pageBreakBefore w:val="0"/>
        <w:widowControl/>
        <w:kinsoku/>
        <w:wordWrap/>
        <w:overflowPunct/>
        <w:topLinePunct w:val="0"/>
        <w:autoSpaceDE/>
        <w:autoSpaceDN/>
        <w:bidi w:val="0"/>
        <w:adjustRightInd/>
        <w:snapToGrid/>
        <w:spacing w:after="0" w:line="440" w:lineRule="atLeast"/>
        <w:ind w:firstLine="5280" w:firstLineChars="2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日期：    年    月    日</w:t>
      </w:r>
    </w:p>
    <w:p w14:paraId="231F0C23">
      <w:pPr>
        <w:keepNext w:val="0"/>
        <w:keepLines w:val="0"/>
        <w:pageBreakBefore w:val="0"/>
        <w:widowControl/>
        <w:kinsoku/>
        <w:wordWrap/>
        <w:overflowPunct/>
        <w:topLinePunct w:val="0"/>
        <w:autoSpaceDE/>
        <w:autoSpaceDN/>
        <w:bidi w:val="0"/>
        <w:adjustRightInd/>
        <w:snapToGrid/>
        <w:spacing w:after="0" w:line="440" w:lineRule="atLeast"/>
        <w:ind w:firstLine="283"/>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br w:type="page"/>
      </w:r>
    </w:p>
    <w:p w14:paraId="38B8711E">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A5、投标人情况介绍</w:t>
      </w:r>
    </w:p>
    <w:p w14:paraId="44F637DA">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4"/>
          <w:szCs w:val="24"/>
        </w:rPr>
      </w:pPr>
    </w:p>
    <w:tbl>
      <w:tblPr>
        <w:tblStyle w:val="33"/>
        <w:tblW w:w="92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506"/>
        <w:gridCol w:w="4568"/>
        <w:gridCol w:w="1427"/>
      </w:tblGrid>
      <w:tr w14:paraId="133FDC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56" w:type="dxa"/>
            <w:vAlign w:val="center"/>
          </w:tcPr>
          <w:p w14:paraId="1EEAFF47">
            <w:pPr>
              <w:keepNext w:val="0"/>
              <w:keepLines w:val="0"/>
              <w:pageBreakBefore w:val="0"/>
              <w:widowControl w:val="0"/>
              <w:kinsoku/>
              <w:wordWrap/>
              <w:overflowPunct/>
              <w:topLinePunct w:val="0"/>
              <w:autoSpaceDE/>
              <w:autoSpaceDN/>
              <w:bidi w:val="0"/>
              <w:adjustRightInd/>
              <w:snapToGrid/>
              <w:ind w:left="0" w:leftChars="-95" w:hanging="209" w:hangingChars="95"/>
              <w:jc w:val="center"/>
              <w:textAlignment w:val="auto"/>
              <w:rPr>
                <w:b/>
                <w:szCs w:val="21"/>
              </w:rPr>
            </w:pPr>
            <w:r>
              <w:rPr>
                <w:rFonts w:hint="eastAsia"/>
                <w:b/>
                <w:szCs w:val="21"/>
              </w:rPr>
              <w:t>序号</w:t>
            </w:r>
          </w:p>
        </w:tc>
        <w:tc>
          <w:tcPr>
            <w:tcW w:w="2506" w:type="dxa"/>
            <w:vAlign w:val="center"/>
          </w:tcPr>
          <w:p w14:paraId="63D4E4F8">
            <w:pPr>
              <w:keepNext w:val="0"/>
              <w:keepLines w:val="0"/>
              <w:pageBreakBefore w:val="0"/>
              <w:widowControl w:val="0"/>
              <w:kinsoku/>
              <w:wordWrap/>
              <w:overflowPunct/>
              <w:topLinePunct w:val="0"/>
              <w:autoSpaceDE/>
              <w:autoSpaceDN/>
              <w:bidi w:val="0"/>
              <w:adjustRightInd/>
              <w:snapToGrid/>
              <w:ind w:firstLine="0"/>
              <w:jc w:val="center"/>
              <w:textAlignment w:val="auto"/>
              <w:rPr>
                <w:b/>
                <w:szCs w:val="21"/>
              </w:rPr>
            </w:pPr>
            <w:r>
              <w:rPr>
                <w:rFonts w:hint="eastAsia"/>
                <w:b/>
                <w:szCs w:val="21"/>
              </w:rPr>
              <w:t>项  目</w:t>
            </w:r>
          </w:p>
        </w:tc>
        <w:tc>
          <w:tcPr>
            <w:tcW w:w="4568" w:type="dxa"/>
            <w:vAlign w:val="center"/>
          </w:tcPr>
          <w:p w14:paraId="18389B91">
            <w:pPr>
              <w:keepNext w:val="0"/>
              <w:keepLines w:val="0"/>
              <w:pageBreakBefore w:val="0"/>
              <w:widowControl w:val="0"/>
              <w:kinsoku/>
              <w:wordWrap/>
              <w:overflowPunct/>
              <w:topLinePunct w:val="0"/>
              <w:autoSpaceDE/>
              <w:autoSpaceDN/>
              <w:bidi w:val="0"/>
              <w:adjustRightInd/>
              <w:snapToGrid/>
              <w:ind w:firstLine="0"/>
              <w:jc w:val="center"/>
              <w:textAlignment w:val="auto"/>
              <w:rPr>
                <w:b/>
                <w:szCs w:val="21"/>
              </w:rPr>
            </w:pPr>
            <w:r>
              <w:rPr>
                <w:rFonts w:hint="eastAsia"/>
                <w:b/>
                <w:szCs w:val="21"/>
              </w:rPr>
              <w:t>内容及说明</w:t>
            </w:r>
          </w:p>
        </w:tc>
        <w:tc>
          <w:tcPr>
            <w:tcW w:w="1427" w:type="dxa"/>
            <w:vAlign w:val="center"/>
          </w:tcPr>
          <w:p w14:paraId="560685DB">
            <w:pPr>
              <w:keepNext w:val="0"/>
              <w:keepLines w:val="0"/>
              <w:pageBreakBefore w:val="0"/>
              <w:widowControl w:val="0"/>
              <w:kinsoku/>
              <w:wordWrap/>
              <w:overflowPunct/>
              <w:topLinePunct w:val="0"/>
              <w:autoSpaceDE/>
              <w:autoSpaceDN/>
              <w:bidi w:val="0"/>
              <w:adjustRightInd/>
              <w:snapToGrid/>
              <w:ind w:firstLine="0"/>
              <w:jc w:val="center"/>
              <w:textAlignment w:val="auto"/>
              <w:rPr>
                <w:b/>
                <w:szCs w:val="21"/>
              </w:rPr>
            </w:pPr>
            <w:r>
              <w:rPr>
                <w:rFonts w:hint="eastAsia"/>
                <w:b/>
                <w:szCs w:val="21"/>
              </w:rPr>
              <w:t>备注</w:t>
            </w:r>
          </w:p>
        </w:tc>
      </w:tr>
      <w:tr w14:paraId="2BCC2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56" w:type="dxa"/>
            <w:vAlign w:val="center"/>
          </w:tcPr>
          <w:p w14:paraId="1909024D">
            <w:pPr>
              <w:keepNext w:val="0"/>
              <w:keepLines w:val="0"/>
              <w:pageBreakBefore w:val="0"/>
              <w:widowControl w:val="0"/>
              <w:kinsoku/>
              <w:wordWrap/>
              <w:overflowPunct/>
              <w:topLinePunct w:val="0"/>
              <w:autoSpaceDE/>
              <w:autoSpaceDN/>
              <w:bidi w:val="0"/>
              <w:adjustRightInd/>
              <w:snapToGrid/>
              <w:ind w:firstLine="0"/>
              <w:jc w:val="center"/>
              <w:textAlignment w:val="auto"/>
              <w:rPr>
                <w:b/>
                <w:szCs w:val="21"/>
              </w:rPr>
            </w:pPr>
            <w:r>
              <w:rPr>
                <w:rFonts w:hint="eastAsia"/>
                <w:b/>
                <w:szCs w:val="21"/>
              </w:rPr>
              <w:t>一</w:t>
            </w:r>
          </w:p>
        </w:tc>
        <w:tc>
          <w:tcPr>
            <w:tcW w:w="7074" w:type="dxa"/>
            <w:gridSpan w:val="2"/>
            <w:vAlign w:val="center"/>
          </w:tcPr>
          <w:p w14:paraId="75D72C41">
            <w:pPr>
              <w:keepNext w:val="0"/>
              <w:keepLines w:val="0"/>
              <w:pageBreakBefore w:val="0"/>
              <w:widowControl w:val="0"/>
              <w:kinsoku/>
              <w:wordWrap/>
              <w:overflowPunct/>
              <w:topLinePunct w:val="0"/>
              <w:autoSpaceDE/>
              <w:autoSpaceDN/>
              <w:bidi w:val="0"/>
              <w:adjustRightInd/>
              <w:snapToGrid/>
              <w:ind w:firstLine="0"/>
              <w:jc w:val="center"/>
              <w:textAlignment w:val="auto"/>
              <w:rPr>
                <w:b/>
                <w:szCs w:val="21"/>
              </w:rPr>
            </w:pPr>
            <w:r>
              <w:rPr>
                <w:rFonts w:hint="eastAsia"/>
                <w:b/>
                <w:szCs w:val="21"/>
              </w:rPr>
              <w:t>营业执照</w:t>
            </w:r>
          </w:p>
        </w:tc>
        <w:tc>
          <w:tcPr>
            <w:tcW w:w="1427" w:type="dxa"/>
            <w:vAlign w:val="center"/>
          </w:tcPr>
          <w:p w14:paraId="7D12D4D7">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r>
      <w:tr w14:paraId="1EEDEE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56" w:type="dxa"/>
            <w:vAlign w:val="center"/>
          </w:tcPr>
          <w:p w14:paraId="6EF833C4">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r>
              <w:rPr>
                <w:rFonts w:hint="eastAsia"/>
                <w:szCs w:val="21"/>
              </w:rPr>
              <w:t>1</w:t>
            </w:r>
          </w:p>
        </w:tc>
        <w:tc>
          <w:tcPr>
            <w:tcW w:w="2506" w:type="dxa"/>
            <w:vAlign w:val="center"/>
          </w:tcPr>
          <w:p w14:paraId="64D969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Cs w:val="21"/>
              </w:rPr>
            </w:pPr>
            <w:r>
              <w:rPr>
                <w:rFonts w:hint="eastAsia"/>
                <w:szCs w:val="21"/>
              </w:rPr>
              <w:t>注册年度及注册编号</w:t>
            </w:r>
          </w:p>
        </w:tc>
        <w:tc>
          <w:tcPr>
            <w:tcW w:w="4568" w:type="dxa"/>
            <w:vAlign w:val="center"/>
          </w:tcPr>
          <w:p w14:paraId="76F2F4EA">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c>
          <w:tcPr>
            <w:tcW w:w="1427" w:type="dxa"/>
            <w:vAlign w:val="center"/>
          </w:tcPr>
          <w:p w14:paraId="0B16EC3B">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r>
      <w:tr w14:paraId="3C4E1F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56" w:type="dxa"/>
            <w:vAlign w:val="center"/>
          </w:tcPr>
          <w:p w14:paraId="588796AD">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r>
              <w:rPr>
                <w:rFonts w:hint="eastAsia"/>
                <w:szCs w:val="21"/>
              </w:rPr>
              <w:t>2</w:t>
            </w:r>
          </w:p>
        </w:tc>
        <w:tc>
          <w:tcPr>
            <w:tcW w:w="2506" w:type="dxa"/>
            <w:vAlign w:val="center"/>
          </w:tcPr>
          <w:p w14:paraId="19576586">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r>
              <w:rPr>
                <w:rFonts w:hint="eastAsia"/>
                <w:szCs w:val="21"/>
              </w:rPr>
              <w:t>注册资金（万元）</w:t>
            </w:r>
          </w:p>
        </w:tc>
        <w:tc>
          <w:tcPr>
            <w:tcW w:w="4568" w:type="dxa"/>
            <w:vAlign w:val="center"/>
          </w:tcPr>
          <w:p w14:paraId="57757F13">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c>
          <w:tcPr>
            <w:tcW w:w="1427" w:type="dxa"/>
            <w:vAlign w:val="center"/>
          </w:tcPr>
          <w:p w14:paraId="232158AB">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r>
      <w:tr w14:paraId="3413D8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56" w:type="dxa"/>
            <w:vAlign w:val="center"/>
          </w:tcPr>
          <w:p w14:paraId="177EFC83">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r>
              <w:rPr>
                <w:rFonts w:hint="eastAsia"/>
                <w:szCs w:val="21"/>
              </w:rPr>
              <w:t>3</w:t>
            </w:r>
          </w:p>
        </w:tc>
        <w:tc>
          <w:tcPr>
            <w:tcW w:w="2506" w:type="dxa"/>
            <w:vAlign w:val="center"/>
          </w:tcPr>
          <w:p w14:paraId="70197512">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r>
              <w:rPr>
                <w:rFonts w:hint="eastAsia"/>
                <w:szCs w:val="21"/>
              </w:rPr>
              <w:t>经营场所</w:t>
            </w:r>
          </w:p>
        </w:tc>
        <w:tc>
          <w:tcPr>
            <w:tcW w:w="4568" w:type="dxa"/>
            <w:vAlign w:val="center"/>
          </w:tcPr>
          <w:p w14:paraId="2F3D8302">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c>
          <w:tcPr>
            <w:tcW w:w="1427" w:type="dxa"/>
            <w:vAlign w:val="center"/>
          </w:tcPr>
          <w:p w14:paraId="1224B5F5">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r>
      <w:tr w14:paraId="254DA9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56" w:type="dxa"/>
            <w:vAlign w:val="center"/>
          </w:tcPr>
          <w:p w14:paraId="718D8376">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r>
              <w:rPr>
                <w:rFonts w:hint="eastAsia"/>
                <w:szCs w:val="21"/>
              </w:rPr>
              <w:t>4</w:t>
            </w:r>
          </w:p>
        </w:tc>
        <w:tc>
          <w:tcPr>
            <w:tcW w:w="2506" w:type="dxa"/>
            <w:vAlign w:val="center"/>
          </w:tcPr>
          <w:p w14:paraId="6D7FC122">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r>
              <w:rPr>
                <w:rFonts w:hint="eastAsia"/>
                <w:szCs w:val="21"/>
              </w:rPr>
              <w:t>有效期</w:t>
            </w:r>
          </w:p>
        </w:tc>
        <w:tc>
          <w:tcPr>
            <w:tcW w:w="4568" w:type="dxa"/>
            <w:vAlign w:val="center"/>
          </w:tcPr>
          <w:p w14:paraId="544E5485">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c>
          <w:tcPr>
            <w:tcW w:w="1427" w:type="dxa"/>
            <w:vAlign w:val="center"/>
          </w:tcPr>
          <w:p w14:paraId="5959311D">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r>
      <w:tr w14:paraId="5BC401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56" w:type="dxa"/>
            <w:vAlign w:val="center"/>
          </w:tcPr>
          <w:p w14:paraId="2B7F1373">
            <w:pPr>
              <w:keepNext w:val="0"/>
              <w:keepLines w:val="0"/>
              <w:pageBreakBefore w:val="0"/>
              <w:widowControl w:val="0"/>
              <w:kinsoku/>
              <w:wordWrap/>
              <w:overflowPunct/>
              <w:topLinePunct w:val="0"/>
              <w:autoSpaceDE/>
              <w:autoSpaceDN/>
              <w:bidi w:val="0"/>
              <w:adjustRightInd/>
              <w:snapToGrid/>
              <w:ind w:firstLine="0"/>
              <w:jc w:val="center"/>
              <w:textAlignment w:val="auto"/>
              <w:rPr>
                <w:b/>
                <w:szCs w:val="21"/>
              </w:rPr>
            </w:pPr>
            <w:r>
              <w:rPr>
                <w:rFonts w:hint="eastAsia"/>
                <w:b/>
                <w:szCs w:val="21"/>
              </w:rPr>
              <w:t>二</w:t>
            </w:r>
          </w:p>
        </w:tc>
        <w:tc>
          <w:tcPr>
            <w:tcW w:w="7074" w:type="dxa"/>
            <w:gridSpan w:val="2"/>
            <w:vAlign w:val="center"/>
          </w:tcPr>
          <w:p w14:paraId="3821C064">
            <w:pPr>
              <w:keepNext w:val="0"/>
              <w:keepLines w:val="0"/>
              <w:pageBreakBefore w:val="0"/>
              <w:widowControl w:val="0"/>
              <w:kinsoku/>
              <w:wordWrap/>
              <w:overflowPunct/>
              <w:topLinePunct w:val="0"/>
              <w:autoSpaceDE/>
              <w:autoSpaceDN/>
              <w:bidi w:val="0"/>
              <w:adjustRightInd/>
              <w:snapToGrid/>
              <w:ind w:firstLine="0"/>
              <w:jc w:val="center"/>
              <w:textAlignment w:val="auto"/>
              <w:rPr>
                <w:b/>
                <w:szCs w:val="21"/>
              </w:rPr>
            </w:pPr>
            <w:r>
              <w:rPr>
                <w:rFonts w:hint="eastAsia"/>
                <w:b/>
                <w:szCs w:val="21"/>
              </w:rPr>
              <w:t>税务登记证</w:t>
            </w:r>
          </w:p>
        </w:tc>
        <w:tc>
          <w:tcPr>
            <w:tcW w:w="1427" w:type="dxa"/>
            <w:vAlign w:val="center"/>
          </w:tcPr>
          <w:p w14:paraId="64C69AC0">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r>
      <w:tr w14:paraId="521937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56" w:type="dxa"/>
            <w:vAlign w:val="center"/>
          </w:tcPr>
          <w:p w14:paraId="000A1FD4">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r>
              <w:rPr>
                <w:rFonts w:hint="eastAsia"/>
                <w:szCs w:val="21"/>
              </w:rPr>
              <w:t>1</w:t>
            </w:r>
          </w:p>
        </w:tc>
        <w:tc>
          <w:tcPr>
            <w:tcW w:w="2506" w:type="dxa"/>
            <w:vAlign w:val="center"/>
          </w:tcPr>
          <w:p w14:paraId="31252A68">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r>
              <w:rPr>
                <w:rFonts w:hint="eastAsia"/>
                <w:szCs w:val="21"/>
              </w:rPr>
              <w:t>税务登记证编号</w:t>
            </w:r>
          </w:p>
        </w:tc>
        <w:tc>
          <w:tcPr>
            <w:tcW w:w="4568" w:type="dxa"/>
            <w:vAlign w:val="center"/>
          </w:tcPr>
          <w:p w14:paraId="0836967D">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c>
          <w:tcPr>
            <w:tcW w:w="1427" w:type="dxa"/>
            <w:vAlign w:val="center"/>
          </w:tcPr>
          <w:p w14:paraId="4A621F22">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r>
      <w:tr w14:paraId="743D27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56" w:type="dxa"/>
            <w:vAlign w:val="center"/>
          </w:tcPr>
          <w:p w14:paraId="33EB35E6">
            <w:pPr>
              <w:keepNext w:val="0"/>
              <w:keepLines w:val="0"/>
              <w:pageBreakBefore w:val="0"/>
              <w:widowControl w:val="0"/>
              <w:kinsoku/>
              <w:wordWrap/>
              <w:overflowPunct/>
              <w:topLinePunct w:val="0"/>
              <w:autoSpaceDE/>
              <w:autoSpaceDN/>
              <w:bidi w:val="0"/>
              <w:adjustRightInd/>
              <w:snapToGrid/>
              <w:ind w:firstLine="0"/>
              <w:jc w:val="center"/>
              <w:textAlignment w:val="auto"/>
              <w:rPr>
                <w:b/>
                <w:szCs w:val="21"/>
              </w:rPr>
            </w:pPr>
            <w:r>
              <w:rPr>
                <w:rFonts w:hint="eastAsia"/>
                <w:b/>
                <w:szCs w:val="21"/>
              </w:rPr>
              <w:t>三</w:t>
            </w:r>
          </w:p>
        </w:tc>
        <w:tc>
          <w:tcPr>
            <w:tcW w:w="7074" w:type="dxa"/>
            <w:gridSpan w:val="2"/>
            <w:vAlign w:val="center"/>
          </w:tcPr>
          <w:p w14:paraId="01C64B23">
            <w:pPr>
              <w:keepNext w:val="0"/>
              <w:keepLines w:val="0"/>
              <w:pageBreakBefore w:val="0"/>
              <w:widowControl w:val="0"/>
              <w:kinsoku/>
              <w:wordWrap/>
              <w:overflowPunct/>
              <w:topLinePunct w:val="0"/>
              <w:autoSpaceDE/>
              <w:autoSpaceDN/>
              <w:bidi w:val="0"/>
              <w:adjustRightInd/>
              <w:snapToGrid/>
              <w:ind w:firstLine="0"/>
              <w:jc w:val="center"/>
              <w:textAlignment w:val="auto"/>
              <w:rPr>
                <w:b/>
                <w:szCs w:val="21"/>
              </w:rPr>
            </w:pPr>
            <w:r>
              <w:rPr>
                <w:rFonts w:hint="eastAsia"/>
                <w:b/>
                <w:szCs w:val="21"/>
              </w:rPr>
              <w:t>其他</w:t>
            </w:r>
            <w:r>
              <w:rPr>
                <w:rFonts w:hint="eastAsia"/>
                <w:szCs w:val="21"/>
              </w:rPr>
              <w:t>（投标人认为需补充的其他说明）</w:t>
            </w:r>
          </w:p>
        </w:tc>
        <w:tc>
          <w:tcPr>
            <w:tcW w:w="1427" w:type="dxa"/>
            <w:vAlign w:val="center"/>
          </w:tcPr>
          <w:p w14:paraId="67A3DB19">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r>
      <w:tr w14:paraId="155202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56" w:type="dxa"/>
            <w:vAlign w:val="center"/>
          </w:tcPr>
          <w:p w14:paraId="19AE8A39">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r>
              <w:rPr>
                <w:rFonts w:hint="eastAsia"/>
                <w:szCs w:val="21"/>
              </w:rPr>
              <w:t>1</w:t>
            </w:r>
          </w:p>
        </w:tc>
        <w:tc>
          <w:tcPr>
            <w:tcW w:w="2506" w:type="dxa"/>
            <w:vAlign w:val="center"/>
          </w:tcPr>
          <w:p w14:paraId="34AE1A0A">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c>
          <w:tcPr>
            <w:tcW w:w="4568" w:type="dxa"/>
            <w:vAlign w:val="center"/>
          </w:tcPr>
          <w:p w14:paraId="73783D23">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c>
          <w:tcPr>
            <w:tcW w:w="1427" w:type="dxa"/>
            <w:vAlign w:val="center"/>
          </w:tcPr>
          <w:p w14:paraId="28334650">
            <w:pPr>
              <w:keepNext w:val="0"/>
              <w:keepLines w:val="0"/>
              <w:pageBreakBefore w:val="0"/>
              <w:widowControl w:val="0"/>
              <w:kinsoku/>
              <w:wordWrap/>
              <w:overflowPunct/>
              <w:topLinePunct w:val="0"/>
              <w:autoSpaceDE/>
              <w:autoSpaceDN/>
              <w:bidi w:val="0"/>
              <w:adjustRightInd/>
              <w:snapToGrid/>
              <w:ind w:firstLine="0"/>
              <w:jc w:val="center"/>
              <w:textAlignment w:val="auto"/>
              <w:rPr>
                <w:szCs w:val="21"/>
              </w:rPr>
            </w:pPr>
          </w:p>
        </w:tc>
      </w:tr>
    </w:tbl>
    <w:p w14:paraId="5B6537D9">
      <w:pPr>
        <w:spacing w:line="360" w:lineRule="auto"/>
        <w:jc w:val="left"/>
        <w:rPr>
          <w:sz w:val="21"/>
          <w:szCs w:val="21"/>
        </w:rPr>
      </w:pPr>
      <w:r>
        <w:rPr>
          <w:rFonts w:ascii="宋体" w:hAnsi="宋体" w:eastAsia="宋体"/>
          <w:b w:val="0"/>
          <w:sz w:val="21"/>
          <w:szCs w:val="21"/>
        </w:rPr>
        <w:t>注：1、在按要求填写好此表格后，各投标单位可以用其它的方式，就自身整体情况作出详细的介绍。</w:t>
      </w:r>
    </w:p>
    <w:p w14:paraId="2B054751">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A6、其他</w:t>
      </w:r>
    </w:p>
    <w:p w14:paraId="1967A009">
      <w:pPr>
        <w:spacing w:line="360" w:lineRule="auto"/>
        <w:ind w:firstLine="420" w:firstLineChars="200"/>
        <w:jc w:val="left"/>
      </w:pPr>
      <w:r>
        <w:rPr>
          <w:rFonts w:ascii="宋体" w:hAnsi="宋体" w:eastAsia="宋体"/>
          <w:b w:val="0"/>
          <w:sz w:val="21"/>
        </w:rPr>
        <w:t>投标人认为应补充提供的其他文件资料或说明。</w:t>
      </w:r>
    </w:p>
    <w:p w14:paraId="3074A837">
      <w:r>
        <w:br w:type="page"/>
      </w:r>
    </w:p>
    <w:p w14:paraId="65CA3DA3">
      <w:pPr>
        <w:keepNext w:val="0"/>
        <w:keepLines w:val="0"/>
        <w:pageBreakBefore w:val="0"/>
        <w:widowControl/>
        <w:kinsoku/>
        <w:wordWrap/>
        <w:overflowPunct/>
        <w:topLinePunct w:val="0"/>
        <w:autoSpaceDE/>
        <w:autoSpaceDN/>
        <w:bidi w:val="0"/>
        <w:adjustRightInd/>
        <w:snapToGrid/>
        <w:spacing w:after="0" w:line="440" w:lineRule="atLeast"/>
        <w:jc w:val="center"/>
        <w:textAlignment w:val="auto"/>
        <w:rPr>
          <w:rFonts w:hint="eastAsia" w:ascii="宋体" w:hAnsi="宋体" w:eastAsia="宋体" w:cs="宋体"/>
          <w:b w:val="0"/>
          <w:sz w:val="24"/>
          <w:szCs w:val="24"/>
        </w:rPr>
      </w:pPr>
      <w:r>
        <w:rPr>
          <w:rFonts w:hint="eastAsia" w:ascii="宋体" w:hAnsi="宋体" w:eastAsia="宋体" w:cs="宋体"/>
          <w:b w:val="0"/>
          <w:sz w:val="24"/>
          <w:szCs w:val="24"/>
        </w:rPr>
        <w:t>二、商务标部分</w:t>
      </w:r>
    </w:p>
    <w:p w14:paraId="3339EE9B">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B1、实质性条款响应情况表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2317"/>
        <w:gridCol w:w="1768"/>
        <w:gridCol w:w="1573"/>
        <w:gridCol w:w="1748"/>
      </w:tblGrid>
      <w:tr w14:paraId="7535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334" w:type="dxa"/>
          </w:tcPr>
          <w:p w14:paraId="24B00B1A">
            <w:pPr>
              <w:keepNext w:val="0"/>
              <w:keepLines w:val="0"/>
              <w:pageBreakBefore w:val="0"/>
              <w:widowControl/>
              <w:kinsoku/>
              <w:wordWrap/>
              <w:overflowPunct/>
              <w:topLinePunct w:val="0"/>
              <w:autoSpaceDE/>
              <w:autoSpaceDN/>
              <w:bidi w:val="0"/>
              <w:adjustRightInd/>
              <w:snapToGrid/>
              <w:spacing w:after="0" w:line="440" w:lineRule="atLeast"/>
              <w:jc w:val="center"/>
              <w:textAlignment w:val="auto"/>
              <w:rPr>
                <w:rFonts w:hint="eastAsia" w:ascii="宋体" w:hAnsi="宋体" w:eastAsia="宋体" w:cs="宋体"/>
                <w:b w:val="0"/>
                <w:sz w:val="21"/>
                <w:szCs w:val="21"/>
              </w:rPr>
            </w:pPr>
            <w:r>
              <w:rPr>
                <w:rFonts w:hint="eastAsia" w:ascii="宋体" w:hAnsi="宋体" w:eastAsia="宋体" w:cs="宋体"/>
                <w:b w:val="0"/>
                <w:sz w:val="21"/>
                <w:szCs w:val="21"/>
              </w:rPr>
              <w:t>序号</w:t>
            </w:r>
          </w:p>
        </w:tc>
        <w:tc>
          <w:tcPr>
            <w:tcW w:w="2317" w:type="dxa"/>
          </w:tcPr>
          <w:p w14:paraId="12A93EB1">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实质性条款具体内容</w:t>
            </w:r>
          </w:p>
        </w:tc>
        <w:tc>
          <w:tcPr>
            <w:tcW w:w="1768" w:type="dxa"/>
          </w:tcPr>
          <w:p w14:paraId="4BC073DA">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投标响应</w:t>
            </w:r>
          </w:p>
        </w:tc>
        <w:tc>
          <w:tcPr>
            <w:tcW w:w="1573" w:type="dxa"/>
          </w:tcPr>
          <w:p w14:paraId="5908BFE1">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偏离情况</w:t>
            </w:r>
          </w:p>
        </w:tc>
        <w:tc>
          <w:tcPr>
            <w:tcW w:w="1748" w:type="dxa"/>
          </w:tcPr>
          <w:p w14:paraId="2122088D">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说明</w:t>
            </w:r>
          </w:p>
        </w:tc>
      </w:tr>
      <w:tr w14:paraId="4945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334" w:type="dxa"/>
          </w:tcPr>
          <w:p w14:paraId="3A1C84F4">
            <w:pPr>
              <w:keepNext w:val="0"/>
              <w:keepLines w:val="0"/>
              <w:pageBreakBefore w:val="0"/>
              <w:widowControl/>
              <w:kinsoku/>
              <w:wordWrap/>
              <w:overflowPunct/>
              <w:topLinePunct w:val="0"/>
              <w:autoSpaceDE/>
              <w:autoSpaceDN/>
              <w:bidi w:val="0"/>
              <w:adjustRightInd/>
              <w:snapToGrid/>
              <w:spacing w:after="0" w:line="440" w:lineRule="atLeast"/>
              <w:jc w:val="center"/>
              <w:textAlignment w:val="auto"/>
              <w:rPr>
                <w:rFonts w:hint="eastAsia" w:ascii="宋体" w:hAnsi="宋体" w:eastAsia="宋体" w:cs="宋体"/>
                <w:b w:val="0"/>
                <w:sz w:val="21"/>
                <w:szCs w:val="21"/>
              </w:rPr>
            </w:pPr>
          </w:p>
          <w:p w14:paraId="7BB8D338">
            <w:pPr>
              <w:keepNext w:val="0"/>
              <w:keepLines w:val="0"/>
              <w:pageBreakBefore w:val="0"/>
              <w:widowControl/>
              <w:kinsoku/>
              <w:wordWrap/>
              <w:overflowPunct/>
              <w:topLinePunct w:val="0"/>
              <w:autoSpaceDE/>
              <w:autoSpaceDN/>
              <w:bidi w:val="0"/>
              <w:adjustRightInd/>
              <w:snapToGrid/>
              <w:spacing w:after="0" w:line="440" w:lineRule="atLeast"/>
              <w:ind w:firstLine="630" w:firstLineChars="300"/>
              <w:jc w:val="both"/>
              <w:textAlignment w:val="auto"/>
              <w:rPr>
                <w:rFonts w:hint="eastAsia" w:ascii="宋体" w:hAnsi="宋体" w:eastAsia="宋体" w:cs="宋体"/>
                <w:b w:val="0"/>
                <w:sz w:val="21"/>
                <w:szCs w:val="21"/>
              </w:rPr>
            </w:pPr>
            <w:r>
              <w:rPr>
                <w:rFonts w:hint="eastAsia" w:ascii="宋体" w:hAnsi="宋体" w:eastAsia="宋体" w:cs="宋体"/>
                <w:b w:val="0"/>
                <w:sz w:val="21"/>
                <w:szCs w:val="21"/>
              </w:rPr>
              <w:t>1</w:t>
            </w:r>
          </w:p>
        </w:tc>
        <w:tc>
          <w:tcPr>
            <w:tcW w:w="2317" w:type="dxa"/>
          </w:tcPr>
          <w:p w14:paraId="3E333932">
            <w:pPr>
              <w:keepNext w:val="0"/>
              <w:keepLines w:val="0"/>
              <w:pageBreakBefore w:val="0"/>
              <w:widowControl/>
              <w:kinsoku/>
              <w:wordWrap/>
              <w:overflowPunct/>
              <w:topLinePunct w:val="0"/>
              <w:autoSpaceDE/>
              <w:autoSpaceDN/>
              <w:bidi w:val="0"/>
              <w:adjustRightInd/>
              <w:snapToGrid/>
              <w:spacing w:after="0" w:line="440" w:lineRule="atLeast"/>
              <w:jc w:val="center"/>
              <w:textAlignment w:val="auto"/>
              <w:rPr>
                <w:rFonts w:hint="eastAsia" w:ascii="宋体" w:hAnsi="宋体" w:eastAsia="宋体" w:cs="宋体"/>
                <w:b w:val="0"/>
                <w:sz w:val="21"/>
                <w:szCs w:val="21"/>
              </w:rPr>
            </w:pPr>
            <w:r>
              <w:rPr>
                <w:rFonts w:hint="eastAsia" w:ascii="宋体" w:hAnsi="宋体" w:eastAsia="宋体" w:cs="宋体"/>
                <w:b w:val="0"/>
                <w:sz w:val="21"/>
                <w:szCs w:val="21"/>
              </w:rPr>
              <w:t>三、服务需求书的全部内容</w:t>
            </w:r>
          </w:p>
        </w:tc>
        <w:tc>
          <w:tcPr>
            <w:tcW w:w="1768" w:type="dxa"/>
          </w:tcPr>
          <w:p w14:paraId="31332D9E">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完全满足招标文件三、服务需求书的全部内容</w:t>
            </w:r>
          </w:p>
        </w:tc>
        <w:tc>
          <w:tcPr>
            <w:tcW w:w="1573" w:type="dxa"/>
          </w:tcPr>
          <w:p w14:paraId="74946571">
            <w:pPr>
              <w:keepNext w:val="0"/>
              <w:keepLines w:val="0"/>
              <w:pageBreakBefore w:val="0"/>
              <w:widowControl/>
              <w:kinsoku/>
              <w:wordWrap/>
              <w:overflowPunct/>
              <w:topLinePunct w:val="0"/>
              <w:autoSpaceDE/>
              <w:autoSpaceDN/>
              <w:bidi w:val="0"/>
              <w:adjustRightInd/>
              <w:snapToGrid/>
              <w:spacing w:after="0" w:line="440" w:lineRule="atLeast"/>
              <w:jc w:val="center"/>
              <w:textAlignment w:val="auto"/>
              <w:rPr>
                <w:rFonts w:hint="eastAsia" w:ascii="宋体" w:hAnsi="宋体" w:eastAsia="宋体" w:cs="宋体"/>
                <w:b w:val="0"/>
                <w:sz w:val="21"/>
                <w:szCs w:val="21"/>
              </w:rPr>
            </w:pPr>
          </w:p>
          <w:p w14:paraId="00E9F368">
            <w:pPr>
              <w:keepNext w:val="0"/>
              <w:keepLines w:val="0"/>
              <w:pageBreakBefore w:val="0"/>
              <w:widowControl/>
              <w:kinsoku/>
              <w:wordWrap/>
              <w:overflowPunct/>
              <w:topLinePunct w:val="0"/>
              <w:autoSpaceDE/>
              <w:autoSpaceDN/>
              <w:bidi w:val="0"/>
              <w:adjustRightInd/>
              <w:snapToGrid/>
              <w:spacing w:after="0" w:line="440" w:lineRule="atLeast"/>
              <w:jc w:val="center"/>
              <w:textAlignment w:val="auto"/>
              <w:rPr>
                <w:rFonts w:hint="eastAsia" w:ascii="宋体" w:hAnsi="宋体" w:eastAsia="宋体" w:cs="宋体"/>
                <w:b w:val="0"/>
                <w:sz w:val="21"/>
                <w:szCs w:val="21"/>
              </w:rPr>
            </w:pPr>
            <w:r>
              <w:rPr>
                <w:rFonts w:hint="eastAsia" w:ascii="宋体" w:hAnsi="宋体" w:eastAsia="宋体" w:cs="宋体"/>
                <w:b w:val="0"/>
                <w:sz w:val="21"/>
                <w:szCs w:val="21"/>
              </w:rPr>
              <w:t>无偏离</w:t>
            </w:r>
          </w:p>
        </w:tc>
        <w:tc>
          <w:tcPr>
            <w:tcW w:w="1748" w:type="dxa"/>
          </w:tcPr>
          <w:p w14:paraId="5CC13539">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tc>
      </w:tr>
    </w:tbl>
    <w:p w14:paraId="2BC26956">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注：1.上表所列各项均为不可负偏离条款。</w:t>
      </w:r>
    </w:p>
    <w:p w14:paraId="3E59EA1A">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2."投标响应"第一项填写"完全满足招标文件第四章项目需求的全部内容，"即视为投标人已阅知并完全响应"本项目第四章项目需求全部内容"。</w:t>
      </w:r>
    </w:p>
    <w:p w14:paraId="31E55E27">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05BB9BEF">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4.评审委员会有权对投标响应情况作出判断（作出评审结论）。</w:t>
      </w:r>
    </w:p>
    <w:p w14:paraId="7D02C75D">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5.实质性响应条款"投标响应情况"与投标文件其它内容冲突的，以实质性响应条款"投标响应情况"为准。</w:t>
      </w:r>
    </w:p>
    <w:p w14:paraId="4998BA32">
      <w:pPr>
        <w:jc w:val="left"/>
        <w:rPr>
          <w:rFonts w:ascii="黑体" w:hAnsi="黑体" w:eastAsia="黑体"/>
          <w:b/>
          <w:sz w:val="32"/>
          <w:szCs w:val="32"/>
        </w:rPr>
      </w:pPr>
    </w:p>
    <w:p w14:paraId="351044EF">
      <w:pPr>
        <w:jc w:val="left"/>
        <w:rPr>
          <w:rFonts w:ascii="黑体" w:hAnsi="黑体" w:eastAsia="黑体"/>
          <w:b/>
          <w:sz w:val="32"/>
          <w:szCs w:val="32"/>
        </w:rPr>
      </w:pPr>
    </w:p>
    <w:p w14:paraId="554B2E8A">
      <w:pPr>
        <w:jc w:val="left"/>
        <w:rPr>
          <w:rFonts w:ascii="黑体" w:hAnsi="黑体" w:eastAsia="黑体"/>
          <w:b/>
          <w:sz w:val="32"/>
          <w:szCs w:val="32"/>
        </w:rPr>
      </w:pPr>
    </w:p>
    <w:p w14:paraId="158B67B1">
      <w:pPr>
        <w:jc w:val="left"/>
        <w:rPr>
          <w:rFonts w:ascii="黑体" w:hAnsi="黑体" w:eastAsia="黑体"/>
          <w:b/>
          <w:sz w:val="32"/>
          <w:szCs w:val="32"/>
        </w:rPr>
      </w:pPr>
    </w:p>
    <w:p w14:paraId="75DFC093">
      <w:pPr>
        <w:jc w:val="left"/>
        <w:rPr>
          <w:rFonts w:ascii="黑体" w:hAnsi="黑体" w:eastAsia="黑体"/>
          <w:b/>
          <w:sz w:val="32"/>
          <w:szCs w:val="32"/>
        </w:rPr>
      </w:pPr>
    </w:p>
    <w:p w14:paraId="52D327C5">
      <w:pPr>
        <w:jc w:val="left"/>
        <w:rPr>
          <w:rFonts w:ascii="黑体" w:hAnsi="黑体" w:eastAsia="黑体"/>
          <w:b/>
          <w:sz w:val="32"/>
          <w:szCs w:val="32"/>
        </w:rPr>
      </w:pPr>
    </w:p>
    <w:p w14:paraId="7070D7C4">
      <w:pPr>
        <w:jc w:val="left"/>
        <w:rPr>
          <w:rFonts w:ascii="黑体" w:hAnsi="黑体" w:eastAsia="黑体"/>
          <w:b/>
          <w:sz w:val="32"/>
          <w:szCs w:val="32"/>
        </w:rPr>
      </w:pPr>
    </w:p>
    <w:p w14:paraId="5C4E66D8">
      <w:pPr>
        <w:jc w:val="left"/>
        <w:rPr>
          <w:rFonts w:ascii="黑体" w:hAnsi="黑体" w:eastAsia="黑体"/>
          <w:b/>
          <w:sz w:val="32"/>
          <w:szCs w:val="32"/>
        </w:rPr>
      </w:pPr>
    </w:p>
    <w:p w14:paraId="44CE3F60">
      <w:pPr>
        <w:jc w:val="left"/>
        <w:rPr>
          <w:rFonts w:ascii="黑体" w:hAnsi="黑体" w:eastAsia="黑体"/>
          <w:b/>
          <w:sz w:val="32"/>
          <w:szCs w:val="32"/>
        </w:rPr>
      </w:pPr>
    </w:p>
    <w:p w14:paraId="2F7B8107">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B2、充电服务平台的日均充电订单数</w:t>
      </w:r>
    </w:p>
    <w:p w14:paraId="4071792E">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①拟接入自有平台的，提供承诺函（详见模板一）。拟接入第三方平台的，提供第三方平台授权书；不提供不得分。</w:t>
      </w:r>
    </w:p>
    <w:p w14:paraId="0839332F">
      <w:pPr>
        <w:keepNext w:val="0"/>
        <w:keepLines w:val="0"/>
        <w:pageBreakBefore w:val="0"/>
        <w:widowControl/>
        <w:kinsoku/>
        <w:wordWrap/>
        <w:overflowPunct/>
        <w:topLinePunct w:val="0"/>
        <w:autoSpaceDE/>
        <w:autoSpaceDN/>
        <w:bidi w:val="0"/>
        <w:adjustRightInd/>
        <w:snapToGrid/>
        <w:spacing w:after="0" w:line="440" w:lineRule="atLeast"/>
        <w:jc w:val="center"/>
        <w:textAlignment w:val="auto"/>
        <w:rPr>
          <w:rFonts w:hint="eastAsia" w:ascii="宋体" w:hAnsi="宋体" w:eastAsia="宋体" w:cs="宋体"/>
          <w:b w:val="0"/>
          <w:sz w:val="28"/>
          <w:szCs w:val="28"/>
        </w:rPr>
      </w:pPr>
      <w:r>
        <w:rPr>
          <w:rFonts w:hint="eastAsia" w:ascii="宋体" w:hAnsi="宋体" w:eastAsia="宋体" w:cs="宋体"/>
          <w:b/>
          <w:bCs/>
          <w:sz w:val="28"/>
          <w:szCs w:val="28"/>
        </w:rPr>
        <w:t>承诺函（参考模板一）</w:t>
      </w:r>
    </w:p>
    <w:p w14:paraId="06349095">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致：汕头市潮华产业园区运营管理有限公司</w:t>
      </w:r>
    </w:p>
    <w:p w14:paraId="39F1245F">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本公司（以下简称</w:t>
      </w:r>
      <w:r>
        <w:rPr>
          <w:rFonts w:hint="eastAsia" w:ascii="宋体" w:hAnsi="宋体" w:eastAsia="宋体" w:cs="宋体"/>
          <w:b w:val="0"/>
          <w:sz w:val="21"/>
          <w:szCs w:val="21"/>
          <w:lang w:eastAsia="zh-CN"/>
        </w:rPr>
        <w:t>“</w:t>
      </w:r>
      <w:r>
        <w:rPr>
          <w:rFonts w:hint="eastAsia" w:ascii="宋体" w:hAnsi="宋体" w:eastAsia="宋体" w:cs="宋体"/>
          <w:b w:val="0"/>
          <w:sz w:val="21"/>
          <w:szCs w:val="21"/>
        </w:rPr>
        <w:t>承诺人</w:t>
      </w:r>
      <w:r>
        <w:rPr>
          <w:rFonts w:hint="eastAsia" w:ascii="宋体" w:hAnsi="宋体" w:eastAsia="宋体" w:cs="宋体"/>
          <w:b w:val="0"/>
          <w:sz w:val="21"/>
          <w:szCs w:val="21"/>
          <w:lang w:eastAsia="zh-CN"/>
        </w:rPr>
        <w:t>”</w:t>
      </w:r>
      <w:r>
        <w:rPr>
          <w:rFonts w:hint="eastAsia" w:ascii="宋体" w:hAnsi="宋体" w:eastAsia="宋体" w:cs="宋体"/>
          <w:b w:val="0"/>
          <w:sz w:val="21"/>
          <w:szCs w:val="21"/>
        </w:rPr>
        <w:t>），现就潮华光储充项目棉西超充站运营管理服务采购项目投标响应，作出如下承诺：</w:t>
      </w:r>
    </w:p>
    <w:p w14:paraId="086F86AD">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一、承诺事项</w:t>
      </w:r>
    </w:p>
    <w:p w14:paraId="00BF35B7">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1. 我司承诺，中标后将所有充电站接入________充电平台。</w:t>
      </w:r>
    </w:p>
    <w:p w14:paraId="3740D325">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2. 我司为________充电平台合法所有权人。（或者我司已取得________充电平台合法所有权人授权）。</w:t>
      </w:r>
    </w:p>
    <w:p w14:paraId="71413538">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二、违约责任</w:t>
      </w:r>
    </w:p>
    <w:p w14:paraId="3CA8A469">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若承诺人未履行上述承诺事项，自愿承担以下责任：赔偿因违约行为给承诺对象造成的全部损失，包括但不限于直接损失、间接损失、维权费用（律师费、诉讼费等）。</w:t>
      </w:r>
    </w:p>
    <w:p w14:paraId="7DC68F94">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0A9CF2D7">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center"/>
        <w:textAlignment w:val="auto"/>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 xml:space="preserve">                                                </w:t>
      </w:r>
    </w:p>
    <w:p w14:paraId="68DA289C">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center"/>
        <w:textAlignment w:val="auto"/>
        <w:rPr>
          <w:rFonts w:hint="eastAsia" w:ascii="宋体" w:hAnsi="宋体" w:eastAsia="宋体" w:cs="宋体"/>
          <w:b w:val="0"/>
          <w:sz w:val="21"/>
          <w:szCs w:val="21"/>
          <w:lang w:val="en-US" w:eastAsia="zh-CN"/>
        </w:rPr>
      </w:pPr>
    </w:p>
    <w:p w14:paraId="1EB3CE3F">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center"/>
        <w:textAlignment w:val="auto"/>
        <w:rPr>
          <w:rFonts w:hint="eastAsia" w:ascii="宋体" w:hAnsi="宋体" w:eastAsia="宋体" w:cs="宋体"/>
          <w:b w:val="0"/>
          <w:sz w:val="21"/>
          <w:szCs w:val="21"/>
          <w:lang w:val="en-US" w:eastAsia="zh-CN"/>
        </w:rPr>
      </w:pPr>
    </w:p>
    <w:p w14:paraId="772B7B66">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center"/>
        <w:textAlignment w:val="auto"/>
        <w:rPr>
          <w:rFonts w:hint="eastAsia" w:ascii="宋体" w:hAnsi="宋体" w:eastAsia="宋体" w:cs="宋体"/>
          <w:b w:val="0"/>
          <w:sz w:val="21"/>
          <w:szCs w:val="21"/>
          <w:lang w:val="en-US" w:eastAsia="zh-CN"/>
        </w:rPr>
      </w:pPr>
    </w:p>
    <w:p w14:paraId="6046551A">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center"/>
        <w:textAlignment w:val="auto"/>
        <w:rPr>
          <w:rFonts w:hint="eastAsia" w:ascii="宋体" w:hAnsi="宋体" w:eastAsia="宋体" w:cs="宋体"/>
          <w:b w:val="0"/>
          <w:sz w:val="21"/>
          <w:szCs w:val="21"/>
        </w:rPr>
      </w:pPr>
      <w:r>
        <w:rPr>
          <w:rFonts w:hint="eastAsia" w:ascii="宋体" w:hAnsi="宋体" w:eastAsia="宋体" w:cs="宋体"/>
          <w:b w:val="0"/>
          <w:sz w:val="21"/>
          <w:szCs w:val="21"/>
          <w:lang w:val="en-US" w:eastAsia="zh-CN"/>
        </w:rPr>
        <w:t xml:space="preserve">                                                  </w:t>
      </w:r>
      <w:r>
        <w:rPr>
          <w:rFonts w:hint="eastAsia" w:ascii="宋体" w:hAnsi="宋体" w:eastAsia="宋体" w:cs="宋体"/>
          <w:b w:val="0"/>
          <w:sz w:val="21"/>
          <w:szCs w:val="21"/>
        </w:rPr>
        <w:t>承诺人（盖章）：________公司</w:t>
      </w:r>
    </w:p>
    <w:p w14:paraId="2B7E218A">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center"/>
        <w:textAlignment w:val="auto"/>
        <w:rPr>
          <w:rFonts w:hint="eastAsia" w:ascii="宋体" w:hAnsi="宋体" w:eastAsia="宋体" w:cs="宋体"/>
          <w:b w:val="0"/>
          <w:sz w:val="21"/>
          <w:szCs w:val="21"/>
        </w:rPr>
      </w:pPr>
      <w:r>
        <w:rPr>
          <w:rFonts w:hint="eastAsia" w:ascii="宋体" w:hAnsi="宋体" w:eastAsia="宋体" w:cs="宋体"/>
          <w:b w:val="0"/>
          <w:sz w:val="21"/>
          <w:szCs w:val="21"/>
          <w:lang w:val="en-US" w:eastAsia="zh-CN"/>
        </w:rPr>
        <w:t xml:space="preserve">                                                  </w:t>
      </w:r>
      <w:r>
        <w:rPr>
          <w:rFonts w:hint="eastAsia" w:ascii="宋体" w:hAnsi="宋体" w:eastAsia="宋体" w:cs="宋体"/>
          <w:b w:val="0"/>
          <w:sz w:val="21"/>
          <w:szCs w:val="21"/>
        </w:rPr>
        <w:t>日期：______年______月____日</w:t>
      </w:r>
    </w:p>
    <w:p w14:paraId="5DFEF00C">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lang w:val="en-US" w:eastAsia="zh-CN"/>
        </w:rPr>
      </w:pPr>
    </w:p>
    <w:p w14:paraId="55D84D5B">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lang w:val="en-US" w:eastAsia="zh-CN"/>
        </w:rPr>
      </w:pPr>
    </w:p>
    <w:p w14:paraId="2DD295B9">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center"/>
        <w:textAlignment w:val="auto"/>
        <w:rPr>
          <w:rFonts w:hint="eastAsia" w:ascii="宋体" w:hAnsi="宋体" w:eastAsia="宋体" w:cs="宋体"/>
          <w:b w:val="0"/>
          <w:sz w:val="21"/>
          <w:szCs w:val="21"/>
        </w:rPr>
      </w:pPr>
    </w:p>
    <w:p w14:paraId="30358F56">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01F95C57">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55338FE8">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69940655">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②提供202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月1日至202</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28</w:t>
      </w:r>
      <w:r>
        <w:rPr>
          <w:rFonts w:hint="eastAsia" w:ascii="宋体" w:hAnsi="宋体" w:eastAsia="宋体" w:cs="宋体"/>
          <w:b/>
          <w:bCs/>
          <w:sz w:val="21"/>
          <w:szCs w:val="21"/>
        </w:rPr>
        <w:t>日期间，任意连续7日日均充电订单数证明材料。</w:t>
      </w:r>
    </w:p>
    <w:p w14:paraId="48C62F29">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7A8367AA">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253F4D30">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B3、充电服务平台的充电枪数量</w:t>
      </w:r>
    </w:p>
    <w:p w14:paraId="531EC85B">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bCs/>
          <w:sz w:val="21"/>
          <w:szCs w:val="21"/>
        </w:rPr>
      </w:pPr>
      <w:r>
        <w:rPr>
          <w:rFonts w:hint="eastAsia" w:ascii="宋体" w:hAnsi="宋体" w:eastAsia="宋体" w:cs="宋体"/>
          <w:b w:val="0"/>
          <w:sz w:val="21"/>
          <w:szCs w:val="21"/>
        </w:rPr>
        <w:t>①拟接入自有平台的，提供承诺函（详见模板一）。拟接入第三方平台的，提供第三方平台授权书；</w:t>
      </w:r>
      <w:r>
        <w:rPr>
          <w:rFonts w:hint="eastAsia" w:ascii="宋体" w:hAnsi="宋体" w:eastAsia="宋体" w:cs="宋体"/>
          <w:b/>
          <w:bCs/>
          <w:sz w:val="21"/>
          <w:szCs w:val="21"/>
        </w:rPr>
        <w:t>在上个评审项目中已提供过的，此处无需重复提供。</w:t>
      </w:r>
    </w:p>
    <w:p w14:paraId="63F7FDD0">
      <w:pPr>
        <w:keepNext w:val="0"/>
        <w:keepLines w:val="0"/>
        <w:pageBreakBefore w:val="0"/>
        <w:widowControl/>
        <w:kinsoku/>
        <w:wordWrap/>
        <w:overflowPunct/>
        <w:topLinePunct w:val="0"/>
        <w:autoSpaceDE/>
        <w:autoSpaceDN/>
        <w:bidi w:val="0"/>
        <w:adjustRightInd/>
        <w:snapToGrid/>
        <w:spacing w:after="0" w:line="440" w:lineRule="atLeast"/>
        <w:jc w:val="center"/>
        <w:textAlignment w:val="auto"/>
        <w:rPr>
          <w:rFonts w:hint="eastAsia" w:ascii="宋体" w:hAnsi="宋体" w:eastAsia="宋体" w:cs="宋体"/>
          <w:b w:val="0"/>
          <w:sz w:val="21"/>
          <w:szCs w:val="21"/>
        </w:rPr>
      </w:pPr>
      <w:r>
        <w:rPr>
          <w:rFonts w:hint="eastAsia" w:ascii="宋体" w:hAnsi="宋体" w:eastAsia="宋体" w:cs="宋体"/>
          <w:b/>
          <w:bCs/>
          <w:sz w:val="28"/>
          <w:szCs w:val="28"/>
        </w:rPr>
        <w:t>承诺函（参考模板一）</w:t>
      </w:r>
    </w:p>
    <w:p w14:paraId="7CDEBC03">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致：汕头市潮华产业园区运营管理有限公司​</w:t>
      </w:r>
    </w:p>
    <w:p w14:paraId="1D47D39A">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本公司（以下简称 “承诺人”），现就潮华光储充项目棉西超充站运营管理服务采购项目投标响应，作出如下承诺：</w:t>
      </w:r>
    </w:p>
    <w:p w14:paraId="5E4B18EB">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二、承诺事项​</w:t>
      </w:r>
    </w:p>
    <w:p w14:paraId="155FB472">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lang w:val="en-US" w:eastAsia="zh-CN"/>
        </w:rPr>
        <w:t>1</w:t>
      </w:r>
      <w:r>
        <w:rPr>
          <w:rFonts w:hint="eastAsia" w:ascii="宋体" w:hAnsi="宋体" w:eastAsia="宋体" w:cs="宋体"/>
          <w:b w:val="0"/>
          <w:sz w:val="21"/>
          <w:szCs w:val="21"/>
        </w:rPr>
        <w:t>.我司承诺，中标后将所有充电站接入      充电平台。</w:t>
      </w:r>
    </w:p>
    <w:p w14:paraId="67455064">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lang w:val="en-US" w:eastAsia="zh-CN"/>
        </w:rPr>
        <w:t>2</w:t>
      </w:r>
      <w:r>
        <w:rPr>
          <w:rFonts w:hint="eastAsia" w:ascii="宋体" w:hAnsi="宋体" w:eastAsia="宋体" w:cs="宋体"/>
          <w:b w:val="0"/>
          <w:sz w:val="21"/>
          <w:szCs w:val="21"/>
        </w:rPr>
        <w:t>.我司为      充电平台合法所有权人。（或者我司已取得      充电平台合法所有权人授权）。</w:t>
      </w:r>
    </w:p>
    <w:p w14:paraId="5A91AD83">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lang w:val="en-US" w:eastAsia="zh-CN"/>
        </w:rPr>
        <w:t>三</w:t>
      </w:r>
      <w:r>
        <w:rPr>
          <w:rFonts w:hint="eastAsia" w:ascii="宋体" w:hAnsi="宋体" w:eastAsia="宋体" w:cs="宋体"/>
          <w:b w:val="0"/>
          <w:sz w:val="21"/>
          <w:szCs w:val="21"/>
        </w:rPr>
        <w:t>、违约责任​</w:t>
      </w:r>
    </w:p>
    <w:p w14:paraId="7CF84E57">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若承诺人未履行上述承诺事项，自愿承担以下责任：​</w:t>
      </w:r>
    </w:p>
    <w:p w14:paraId="0D7D2DFF">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赔偿因违约行为给承诺对象造成的全部损失，包括但不限于直接损失、间接损失、维权费用（律师费、诉讼费等）。</w:t>
      </w:r>
    </w:p>
    <w:p w14:paraId="4B94095C">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490F2185">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right"/>
        <w:textAlignment w:val="auto"/>
        <w:rPr>
          <w:rFonts w:hint="eastAsia" w:ascii="宋体" w:hAnsi="宋体" w:eastAsia="宋体" w:cs="宋体"/>
          <w:b w:val="0"/>
          <w:sz w:val="21"/>
          <w:szCs w:val="21"/>
        </w:rPr>
      </w:pPr>
      <w:r>
        <w:rPr>
          <w:rFonts w:hint="eastAsia" w:ascii="宋体" w:hAnsi="宋体" w:eastAsia="宋体" w:cs="宋体"/>
          <w:b w:val="0"/>
          <w:sz w:val="21"/>
          <w:szCs w:val="21"/>
        </w:rPr>
        <w:t>承诺人（盖章）：      公司​</w:t>
      </w:r>
    </w:p>
    <w:p w14:paraId="28B23659">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center"/>
        <w:textAlignment w:val="auto"/>
        <w:rPr>
          <w:rFonts w:hint="eastAsia" w:ascii="宋体" w:hAnsi="宋体" w:eastAsia="宋体" w:cs="宋体"/>
          <w:b w:val="0"/>
          <w:sz w:val="21"/>
          <w:szCs w:val="21"/>
        </w:rPr>
      </w:pPr>
      <w:r>
        <w:rPr>
          <w:rFonts w:hint="eastAsia" w:ascii="宋体" w:hAnsi="宋体" w:eastAsia="宋体" w:cs="宋体"/>
          <w:b w:val="0"/>
          <w:sz w:val="21"/>
          <w:szCs w:val="21"/>
          <w:lang w:val="en-US" w:eastAsia="zh-CN"/>
        </w:rPr>
        <w:t xml:space="preserve">                                                   </w:t>
      </w:r>
      <w:r>
        <w:rPr>
          <w:rFonts w:hint="eastAsia" w:ascii="宋体" w:hAnsi="宋体" w:eastAsia="宋体" w:cs="宋体"/>
          <w:b w:val="0"/>
          <w:sz w:val="21"/>
          <w:szCs w:val="21"/>
        </w:rPr>
        <w:t>日期：______年____月____日</w:t>
      </w:r>
    </w:p>
    <w:p w14:paraId="0086C70D">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right"/>
        <w:textAlignment w:val="auto"/>
        <w:rPr>
          <w:rFonts w:hint="eastAsia" w:ascii="宋体" w:hAnsi="宋体" w:eastAsia="宋体" w:cs="宋体"/>
          <w:b w:val="0"/>
          <w:sz w:val="21"/>
          <w:szCs w:val="21"/>
        </w:rPr>
      </w:pPr>
    </w:p>
    <w:p w14:paraId="20C2282B">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525C8721">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7E99ADC2">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52F49544">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54C8814F">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112181F2">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6FD6DEB7">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0BE12F86">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35BB6818">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②提供202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月1日至202</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28</w:t>
      </w:r>
      <w:r>
        <w:rPr>
          <w:rFonts w:hint="eastAsia" w:ascii="宋体" w:hAnsi="宋体" w:eastAsia="宋体" w:cs="宋体"/>
          <w:b/>
          <w:bCs/>
          <w:sz w:val="21"/>
          <w:szCs w:val="21"/>
        </w:rPr>
        <w:t>日期间，任意时刻的平台充电枪总数证明材料。</w:t>
      </w:r>
    </w:p>
    <w:p w14:paraId="6D38E9C0">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1824AD6B">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7ECE3760">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B4、故障响应时间</w:t>
      </w:r>
    </w:p>
    <w:p w14:paraId="7D42E9B3">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提供相关承诺函（详见模板二），不提供不得分。</w:t>
      </w:r>
    </w:p>
    <w:p w14:paraId="173FFD8A">
      <w:pPr>
        <w:keepNext w:val="0"/>
        <w:keepLines w:val="0"/>
        <w:pageBreakBefore w:val="0"/>
        <w:widowControl/>
        <w:kinsoku/>
        <w:wordWrap/>
        <w:overflowPunct/>
        <w:topLinePunct w:val="0"/>
        <w:autoSpaceDE/>
        <w:autoSpaceDN/>
        <w:bidi w:val="0"/>
        <w:adjustRightInd/>
        <w:snapToGrid/>
        <w:spacing w:after="0" w:line="440" w:lineRule="atLeast"/>
        <w:jc w:val="center"/>
        <w:textAlignment w:val="auto"/>
        <w:rPr>
          <w:rFonts w:hint="eastAsia" w:ascii="宋体" w:hAnsi="宋体" w:eastAsia="宋体" w:cs="宋体"/>
          <w:b w:val="0"/>
          <w:sz w:val="21"/>
          <w:szCs w:val="21"/>
        </w:rPr>
      </w:pPr>
      <w:r>
        <w:rPr>
          <w:rFonts w:hint="eastAsia" w:ascii="宋体" w:hAnsi="宋体" w:eastAsia="宋体" w:cs="宋体"/>
          <w:b/>
          <w:bCs/>
          <w:sz w:val="24"/>
          <w:szCs w:val="24"/>
        </w:rPr>
        <w:t>承诺函（参考模板二）</w:t>
      </w:r>
    </w:p>
    <w:p w14:paraId="4605E1FA">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致：汕头市潮华产业园区运营管理有限公司</w:t>
      </w:r>
    </w:p>
    <w:p w14:paraId="39AA2C60">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本公司（以下简称"承诺人"），现就潮华光储充项目棉西超充站运营管理服务采购项目投标响应，作出如下承诺：</w:t>
      </w:r>
    </w:p>
    <w:p w14:paraId="6DE1E79E">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一、承诺事项</w:t>
      </w:r>
    </w:p>
    <w:p w14:paraId="12CFF061">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1. 充电站故障响应时间：________小时。</w:t>
      </w:r>
    </w:p>
    <w:p w14:paraId="17204BF3">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二、违约责任</w:t>
      </w:r>
    </w:p>
    <w:p w14:paraId="512054DE">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若承诺人未履行上述承诺事项，自愿承担以下责任：</w:t>
      </w:r>
    </w:p>
    <w:p w14:paraId="1227F192">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赔偿因违约行为给承诺对象造成的全部损失，包括但不限于直接损失、间接损失、维权费用（律师费、诉讼费等）。</w:t>
      </w:r>
    </w:p>
    <w:p w14:paraId="6EF51751">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573A4D79">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63347A03">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213666F3">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725C726C">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601FFE17">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10C17E8C">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center"/>
        <w:textAlignment w:val="auto"/>
        <w:rPr>
          <w:rFonts w:hint="eastAsia" w:ascii="宋体" w:hAnsi="宋体" w:eastAsia="宋体" w:cs="宋体"/>
          <w:b w:val="0"/>
          <w:sz w:val="21"/>
          <w:szCs w:val="21"/>
        </w:rPr>
      </w:pPr>
      <w:r>
        <w:rPr>
          <w:rFonts w:hint="eastAsia" w:ascii="宋体" w:hAnsi="宋体" w:eastAsia="宋体" w:cs="宋体"/>
          <w:b w:val="0"/>
          <w:sz w:val="21"/>
          <w:szCs w:val="21"/>
          <w:lang w:val="en-US" w:eastAsia="zh-CN"/>
        </w:rPr>
        <w:t xml:space="preserve">                                    </w:t>
      </w:r>
      <w:r>
        <w:rPr>
          <w:rFonts w:hint="eastAsia" w:ascii="宋体" w:hAnsi="宋体" w:eastAsia="宋体" w:cs="宋体"/>
          <w:b w:val="0"/>
          <w:sz w:val="21"/>
          <w:szCs w:val="21"/>
        </w:rPr>
        <w:t>承诺人（盖章）：________公司</w:t>
      </w:r>
    </w:p>
    <w:p w14:paraId="5B9B17EA">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right"/>
        <w:textAlignment w:val="auto"/>
        <w:rPr>
          <w:rFonts w:hint="eastAsia" w:ascii="宋体" w:hAnsi="宋体" w:eastAsia="宋体" w:cs="宋体"/>
          <w:b w:val="0"/>
          <w:sz w:val="21"/>
          <w:szCs w:val="21"/>
        </w:rPr>
      </w:pPr>
      <w:r>
        <w:rPr>
          <w:rFonts w:hint="eastAsia" w:ascii="宋体" w:hAnsi="宋体" w:eastAsia="宋体" w:cs="宋体"/>
          <w:b w:val="0"/>
          <w:sz w:val="21"/>
          <w:szCs w:val="21"/>
        </w:rPr>
        <w:t>日期：________年________月________日</w:t>
      </w:r>
    </w:p>
    <w:p w14:paraId="3455289D">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6BB79071">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45E92228">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2A3C69AA">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653018CE">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1707145F">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41C56984">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79DB174A">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310E33FD">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169C023D">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262659FB">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B5、结算规则</w:t>
      </w:r>
    </w:p>
    <w:p w14:paraId="0E8BA480">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提供相关承诺函（详见模板三），不提供不得分。</w:t>
      </w:r>
    </w:p>
    <w:p w14:paraId="35B42E9A">
      <w:pPr>
        <w:keepNext w:val="0"/>
        <w:keepLines w:val="0"/>
        <w:pageBreakBefore w:val="0"/>
        <w:widowControl/>
        <w:kinsoku/>
        <w:wordWrap/>
        <w:overflowPunct/>
        <w:topLinePunct w:val="0"/>
        <w:autoSpaceDE/>
        <w:autoSpaceDN/>
        <w:bidi w:val="0"/>
        <w:adjustRightInd/>
        <w:snapToGrid/>
        <w:spacing w:after="0" w:line="440" w:lineRule="atLeast"/>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承诺函（参考模板三）</w:t>
      </w:r>
    </w:p>
    <w:p w14:paraId="1FAE77D5">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致：汕头市潮华产业园区运营管理有限公司</w:t>
      </w:r>
    </w:p>
    <w:p w14:paraId="0A2061D8">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本公司（以下简称</w:t>
      </w:r>
      <w:r>
        <w:rPr>
          <w:rFonts w:hint="eastAsia" w:ascii="宋体" w:hAnsi="宋体" w:eastAsia="宋体" w:cs="宋体"/>
          <w:b w:val="0"/>
          <w:sz w:val="21"/>
          <w:szCs w:val="21"/>
          <w:lang w:eastAsia="zh-CN"/>
        </w:rPr>
        <w:t>“</w:t>
      </w:r>
      <w:r>
        <w:rPr>
          <w:rFonts w:hint="eastAsia" w:ascii="宋体" w:hAnsi="宋体" w:eastAsia="宋体" w:cs="宋体"/>
          <w:b w:val="0"/>
          <w:sz w:val="21"/>
          <w:szCs w:val="21"/>
        </w:rPr>
        <w:t>承诺人</w:t>
      </w:r>
      <w:r>
        <w:rPr>
          <w:rFonts w:hint="eastAsia" w:ascii="宋体" w:hAnsi="宋体" w:eastAsia="宋体" w:cs="宋体"/>
          <w:b w:val="0"/>
          <w:sz w:val="21"/>
          <w:szCs w:val="21"/>
          <w:lang w:eastAsia="zh-CN"/>
        </w:rPr>
        <w:t>”</w:t>
      </w:r>
      <w:r>
        <w:rPr>
          <w:rFonts w:hint="eastAsia" w:ascii="宋体" w:hAnsi="宋体" w:eastAsia="宋体" w:cs="宋体"/>
          <w:b w:val="0"/>
          <w:sz w:val="21"/>
          <w:szCs w:val="21"/>
        </w:rPr>
        <w:t>），现就潮华光储充项目棉西超充站运营管理服务采购项目投标响应，作出如下承诺：</w:t>
      </w:r>
    </w:p>
    <w:p w14:paraId="18BD36FB">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一、承诺事项</w:t>
      </w:r>
    </w:p>
    <w:p w14:paraId="354EA1B1">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1. 服务费用的计算标准、支付周期、结算方式及资金归集路径，以甲乙双方签署的《运营管理服务合同》约定为准。</w:t>
      </w:r>
    </w:p>
    <w:p w14:paraId="3D98055C">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二、违约责任</w:t>
      </w:r>
    </w:p>
    <w:p w14:paraId="2E5829ED">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若承诺人未履行上述承诺事项，自愿承担以下责任：</w:t>
      </w:r>
    </w:p>
    <w:p w14:paraId="09D7AB80">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赔偿因违约行为给承诺对象造成的全部损失，包括但不限于直接损失、间接损失、维权费用（律师费、诉讼费等）。</w:t>
      </w:r>
    </w:p>
    <w:p w14:paraId="452168ED">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12D24B1B">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left"/>
        <w:textAlignment w:val="auto"/>
        <w:rPr>
          <w:rFonts w:hint="eastAsia" w:ascii="宋体" w:hAnsi="宋体" w:eastAsia="宋体" w:cs="宋体"/>
          <w:b w:val="0"/>
          <w:sz w:val="21"/>
          <w:szCs w:val="21"/>
        </w:rPr>
      </w:pPr>
    </w:p>
    <w:p w14:paraId="3AC87BF1">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right"/>
        <w:textAlignment w:val="auto"/>
        <w:rPr>
          <w:rFonts w:hint="eastAsia" w:ascii="宋体" w:hAnsi="宋体" w:eastAsia="宋体" w:cs="宋体"/>
          <w:b w:val="0"/>
          <w:sz w:val="21"/>
          <w:szCs w:val="21"/>
        </w:rPr>
      </w:pPr>
      <w:r>
        <w:rPr>
          <w:rFonts w:hint="eastAsia" w:ascii="宋体" w:hAnsi="宋体" w:eastAsia="宋体" w:cs="宋体"/>
          <w:b w:val="0"/>
          <w:sz w:val="21"/>
          <w:szCs w:val="21"/>
        </w:rPr>
        <w:t>承诺人（盖章）：________公司</w:t>
      </w:r>
    </w:p>
    <w:p w14:paraId="31D72E18">
      <w:pPr>
        <w:keepNext w:val="0"/>
        <w:keepLines w:val="0"/>
        <w:pageBreakBefore w:val="0"/>
        <w:widowControl/>
        <w:kinsoku/>
        <w:wordWrap/>
        <w:overflowPunct/>
        <w:topLinePunct w:val="0"/>
        <w:autoSpaceDE/>
        <w:autoSpaceDN/>
        <w:bidi w:val="0"/>
        <w:adjustRightInd/>
        <w:snapToGrid/>
        <w:spacing w:after="0" w:line="440" w:lineRule="atLeast"/>
        <w:ind w:firstLine="420" w:firstLineChars="200"/>
        <w:jc w:val="right"/>
        <w:textAlignment w:val="auto"/>
        <w:rPr>
          <w:rFonts w:hint="eastAsia" w:ascii="宋体" w:hAnsi="宋体" w:eastAsia="宋体" w:cs="宋体"/>
          <w:b w:val="0"/>
          <w:sz w:val="21"/>
          <w:szCs w:val="21"/>
        </w:rPr>
      </w:pPr>
      <w:r>
        <w:rPr>
          <w:rFonts w:hint="eastAsia" w:ascii="宋体" w:hAnsi="宋体" w:eastAsia="宋体" w:cs="宋体"/>
          <w:b w:val="0"/>
          <w:sz w:val="21"/>
          <w:szCs w:val="21"/>
        </w:rPr>
        <w:t>日期：________年________月________日</w:t>
      </w:r>
    </w:p>
    <w:p w14:paraId="17589E2C">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56D0CBB3">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4B9CA15D">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5233D43B">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3D34606A">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1BC9759D">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16085B57">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6AE0C242">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54F60318">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14E70E19">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11661A7C">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7F33EBE0">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60F47FDA">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p>
    <w:p w14:paraId="2E42F69B">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B6、相关业绩</w:t>
      </w:r>
    </w:p>
    <w:p w14:paraId="66DD7C07">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（根据评审项提供相关证明材料，格式自拟）</w:t>
      </w:r>
    </w:p>
    <w:p w14:paraId="7C403B51">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B7、其他</w:t>
      </w:r>
    </w:p>
    <w:p w14:paraId="383A980D">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（投标人认为应补充提供的其他文件资料或说明，格式自拟）</w:t>
      </w:r>
    </w:p>
    <w:p w14:paraId="756FA285">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br w:type="page"/>
      </w:r>
    </w:p>
    <w:p w14:paraId="57B3DBE7">
      <w:pPr>
        <w:keepNext w:val="0"/>
        <w:keepLines w:val="0"/>
        <w:pageBreakBefore w:val="0"/>
        <w:widowControl/>
        <w:kinsoku/>
        <w:wordWrap/>
        <w:overflowPunct/>
        <w:topLinePunct w:val="0"/>
        <w:autoSpaceDE/>
        <w:autoSpaceDN/>
        <w:bidi w:val="0"/>
        <w:adjustRightInd/>
        <w:snapToGrid/>
        <w:spacing w:after="0" w:line="440" w:lineRule="atLeast"/>
        <w:jc w:val="center"/>
        <w:textAlignment w:val="auto"/>
        <w:rPr>
          <w:rFonts w:hint="eastAsia" w:ascii="宋体" w:hAnsi="宋体" w:eastAsia="宋体" w:cs="宋体"/>
          <w:b w:val="0"/>
          <w:sz w:val="24"/>
          <w:szCs w:val="24"/>
        </w:rPr>
      </w:pPr>
      <w:r>
        <w:rPr>
          <w:rFonts w:hint="eastAsia" w:ascii="宋体" w:hAnsi="宋体" w:eastAsia="宋体" w:cs="宋体"/>
          <w:b w:val="0"/>
          <w:sz w:val="24"/>
          <w:szCs w:val="24"/>
        </w:rPr>
        <w:t>三、技术标部分</w:t>
      </w:r>
    </w:p>
    <w:p w14:paraId="16DE9B70">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C1、管理方案</w:t>
      </w:r>
    </w:p>
    <w:p w14:paraId="4165E789">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（根据评审项提供相关证明材料，格式自拟）</w:t>
      </w:r>
    </w:p>
    <w:p w14:paraId="0D137138">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C2、营销方案</w:t>
      </w:r>
    </w:p>
    <w:p w14:paraId="3D6AA279">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（根据评审项提供相关证明材料，格式自拟）</w:t>
      </w:r>
    </w:p>
    <w:p w14:paraId="303BC70D">
      <w:pPr>
        <w:keepNext w:val="0"/>
        <w:keepLines w:val="0"/>
        <w:pageBreakBefore w:val="0"/>
        <w:widowControl/>
        <w:kinsoku/>
        <w:wordWrap/>
        <w:overflowPunct/>
        <w:topLinePunct w:val="0"/>
        <w:autoSpaceDE/>
        <w:autoSpaceDN/>
        <w:bidi w:val="0"/>
        <w:adjustRightInd/>
        <w:snapToGrid/>
        <w:spacing w:after="0" w:line="440" w:lineRule="atLeast"/>
        <w:jc w:val="left"/>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C3、其他</w:t>
      </w:r>
    </w:p>
    <w:p w14:paraId="09423BAF">
      <w:pPr>
        <w:spacing w:line="360" w:lineRule="auto"/>
        <w:jc w:val="left"/>
        <w:rPr>
          <w:highlight w:val="none"/>
        </w:rPr>
      </w:pPr>
      <w:r>
        <w:rPr>
          <w:rFonts w:ascii="宋体" w:hAnsi="宋体" w:eastAsia="宋体"/>
          <w:b w:val="0"/>
          <w:sz w:val="21"/>
          <w:highlight w:val="none"/>
        </w:rPr>
        <w:t>（投标人认为应补充提供的其他文件资料或说明，格式自拟）</w:t>
      </w:r>
    </w:p>
    <w:p w14:paraId="0F0CA53E">
      <w:r>
        <w:br w:type="page"/>
      </w:r>
    </w:p>
    <w:p w14:paraId="181CD71A">
      <w:pPr>
        <w:keepNext w:val="0"/>
        <w:keepLines w:val="0"/>
        <w:pageBreakBefore w:val="0"/>
        <w:widowControl/>
        <w:kinsoku/>
        <w:wordWrap/>
        <w:overflowPunct/>
        <w:topLinePunct w:val="0"/>
        <w:autoSpaceDE/>
        <w:autoSpaceDN/>
        <w:bidi w:val="0"/>
        <w:adjustRightInd/>
        <w:snapToGrid/>
        <w:spacing w:after="0" w:line="440" w:lineRule="atLeast"/>
        <w:jc w:val="center"/>
        <w:textAlignment w:val="auto"/>
        <w:rPr>
          <w:rFonts w:hint="eastAsia" w:ascii="宋体" w:hAnsi="宋体" w:eastAsia="宋体" w:cs="宋体"/>
          <w:b w:val="0"/>
          <w:sz w:val="24"/>
          <w:szCs w:val="24"/>
        </w:rPr>
      </w:pPr>
      <w:r>
        <w:rPr>
          <w:rFonts w:hint="eastAsia" w:ascii="宋体" w:hAnsi="宋体" w:eastAsia="宋体" w:cs="宋体"/>
          <w:b w:val="0"/>
          <w:sz w:val="24"/>
          <w:szCs w:val="24"/>
        </w:rPr>
        <w:t>四、价格标部分</w:t>
      </w:r>
    </w:p>
    <w:p w14:paraId="6320B8AB">
      <w:pPr>
        <w:keepNext w:val="0"/>
        <w:keepLines w:val="0"/>
        <w:pageBreakBefore w:val="0"/>
        <w:widowControl/>
        <w:kinsoku/>
        <w:wordWrap/>
        <w:overflowPunct/>
        <w:topLinePunct w:val="0"/>
        <w:autoSpaceDE/>
        <w:autoSpaceDN/>
        <w:bidi w:val="0"/>
        <w:adjustRightInd/>
        <w:snapToGrid/>
        <w:spacing w:after="0" w:line="440" w:lineRule="atLeast"/>
        <w:jc w:val="both"/>
        <w:textAlignment w:val="auto"/>
        <w:rPr>
          <w:rFonts w:hint="eastAsia" w:ascii="宋体" w:hAnsi="宋体" w:eastAsia="宋体" w:cs="宋体"/>
          <w:b w:val="0"/>
          <w:sz w:val="21"/>
          <w:szCs w:val="21"/>
        </w:rPr>
      </w:pPr>
      <w:r>
        <w:rPr>
          <w:rFonts w:hint="eastAsia" w:ascii="宋体" w:hAnsi="宋体" w:eastAsia="宋体" w:cs="宋体"/>
          <w:b w:val="0"/>
          <w:sz w:val="21"/>
          <w:szCs w:val="21"/>
        </w:rPr>
        <w:t>D1、投标报价一览表</w:t>
      </w:r>
    </w:p>
    <w:p w14:paraId="167A0C45">
      <w:pPr>
        <w:jc w:val="left"/>
        <w:rPr>
          <w:rFonts w:ascii="黑体" w:hAnsi="黑体" w:eastAsia="黑体"/>
          <w:b/>
          <w:sz w:val="24"/>
        </w:rPr>
      </w:pPr>
    </w:p>
    <w:p w14:paraId="5883CCCB">
      <w:pPr>
        <w:jc w:val="left"/>
        <w:rPr>
          <w:rFonts w:ascii="黑体" w:hAnsi="黑体" w:eastAsia="黑体"/>
          <w:b/>
          <w:sz w:val="24"/>
        </w:rPr>
      </w:pPr>
    </w:p>
    <w:p w14:paraId="58E42C6E">
      <w:pPr>
        <w:jc w:val="left"/>
        <w:rPr>
          <w:rFonts w:ascii="黑体" w:hAnsi="黑体" w:eastAsia="黑体"/>
          <w:b/>
          <w:sz w:val="24"/>
        </w:rPr>
      </w:pPr>
    </w:p>
    <w:p w14:paraId="6A565EE0">
      <w:pPr>
        <w:jc w:val="left"/>
        <w:rPr>
          <w:rFonts w:ascii="黑体" w:hAnsi="黑体" w:eastAsia="黑体"/>
          <w:b/>
          <w:sz w:val="24"/>
        </w:rPr>
      </w:pPr>
    </w:p>
    <w:p w14:paraId="7FD77EBA">
      <w:pPr>
        <w:jc w:val="left"/>
        <w:rPr>
          <w:rFonts w:ascii="黑体" w:hAnsi="黑体" w:eastAsia="黑体"/>
          <w:b/>
          <w:sz w:val="24"/>
        </w:rPr>
      </w:pPr>
    </w:p>
    <w:p w14:paraId="7F7DC635">
      <w:pPr>
        <w:jc w:val="left"/>
        <w:rPr>
          <w:rFonts w:ascii="黑体" w:hAnsi="黑体" w:eastAsia="黑体"/>
          <w:b/>
          <w:sz w:val="24"/>
        </w:rPr>
      </w:pPr>
    </w:p>
    <w:p w14:paraId="62D65147">
      <w:pPr>
        <w:jc w:val="left"/>
        <w:rPr>
          <w:rFonts w:ascii="黑体" w:hAnsi="黑体" w:eastAsia="黑体"/>
          <w:b/>
          <w:sz w:val="24"/>
        </w:rPr>
      </w:pPr>
    </w:p>
    <w:p w14:paraId="7173E019">
      <w:pPr>
        <w:jc w:val="left"/>
        <w:rPr>
          <w:rFonts w:ascii="黑体" w:hAnsi="黑体" w:eastAsia="黑体"/>
          <w:b/>
          <w:sz w:val="24"/>
        </w:rPr>
      </w:pPr>
    </w:p>
    <w:p w14:paraId="4FE05A65">
      <w:pPr>
        <w:jc w:val="left"/>
        <w:rPr>
          <w:rFonts w:ascii="黑体" w:hAnsi="黑体" w:eastAsia="黑体"/>
          <w:b/>
          <w:sz w:val="24"/>
        </w:rPr>
      </w:pPr>
    </w:p>
    <w:p w14:paraId="271AEF55">
      <w:pPr>
        <w:jc w:val="left"/>
        <w:rPr>
          <w:rFonts w:ascii="黑体" w:hAnsi="黑体" w:eastAsia="黑体"/>
          <w:b/>
          <w:sz w:val="24"/>
        </w:rPr>
      </w:pPr>
    </w:p>
    <w:p w14:paraId="133E4CCD">
      <w:pPr>
        <w:jc w:val="left"/>
        <w:rPr>
          <w:rFonts w:ascii="黑体" w:hAnsi="黑体" w:eastAsia="黑体"/>
          <w:b/>
          <w:sz w:val="24"/>
        </w:rPr>
      </w:pPr>
    </w:p>
    <w:p w14:paraId="1C542546">
      <w:pPr>
        <w:jc w:val="left"/>
        <w:rPr>
          <w:rFonts w:ascii="黑体" w:hAnsi="黑体" w:eastAsia="黑体"/>
          <w:b/>
          <w:sz w:val="24"/>
        </w:rPr>
      </w:pPr>
    </w:p>
    <w:p w14:paraId="09A4C3E2">
      <w:pPr>
        <w:jc w:val="left"/>
        <w:rPr>
          <w:rFonts w:ascii="黑体" w:hAnsi="黑体" w:eastAsia="黑体"/>
          <w:b/>
          <w:sz w:val="24"/>
        </w:rPr>
      </w:pPr>
    </w:p>
    <w:p w14:paraId="40475524">
      <w:pPr>
        <w:jc w:val="left"/>
        <w:rPr>
          <w:rFonts w:ascii="黑体" w:hAnsi="黑体" w:eastAsia="黑体"/>
          <w:b/>
          <w:sz w:val="24"/>
        </w:rPr>
      </w:pPr>
    </w:p>
    <w:p w14:paraId="0EB67692">
      <w:pPr>
        <w:jc w:val="left"/>
        <w:rPr>
          <w:rFonts w:ascii="黑体" w:hAnsi="黑体" w:eastAsia="黑体"/>
          <w:b/>
          <w:sz w:val="24"/>
        </w:rPr>
      </w:pPr>
    </w:p>
    <w:p w14:paraId="679EBD9A">
      <w:pPr>
        <w:jc w:val="left"/>
        <w:rPr>
          <w:rFonts w:ascii="黑体" w:hAnsi="黑体" w:eastAsia="黑体"/>
          <w:b/>
          <w:sz w:val="24"/>
        </w:rPr>
      </w:pPr>
    </w:p>
    <w:p w14:paraId="24DEFF71">
      <w:pPr>
        <w:jc w:val="left"/>
        <w:rPr>
          <w:rFonts w:ascii="黑体" w:hAnsi="黑体" w:eastAsia="黑体"/>
          <w:b/>
          <w:sz w:val="24"/>
        </w:rPr>
      </w:pPr>
    </w:p>
    <w:p w14:paraId="70438091">
      <w:pPr>
        <w:jc w:val="left"/>
        <w:rPr>
          <w:rFonts w:ascii="黑体" w:hAnsi="黑体" w:eastAsia="黑体"/>
          <w:b/>
          <w:sz w:val="24"/>
        </w:rPr>
      </w:pPr>
    </w:p>
    <w:p w14:paraId="2F830D7D">
      <w:pPr>
        <w:keepNext w:val="0"/>
        <w:keepLines w:val="0"/>
        <w:pageBreakBefore w:val="0"/>
        <w:widowControl/>
        <w:kinsoku/>
        <w:wordWrap/>
        <w:overflowPunct/>
        <w:topLinePunct w:val="0"/>
        <w:autoSpaceDE/>
        <w:autoSpaceDN/>
        <w:bidi w:val="0"/>
        <w:adjustRightInd/>
        <w:snapToGrid/>
        <w:spacing w:after="0" w:line="440" w:lineRule="atLeast"/>
        <w:jc w:val="both"/>
        <w:textAlignment w:val="auto"/>
        <w:rPr>
          <w:rFonts w:hint="eastAsia" w:ascii="宋体" w:hAnsi="宋体" w:eastAsia="宋体" w:cs="宋体"/>
          <w:b w:val="0"/>
          <w:sz w:val="21"/>
          <w:szCs w:val="21"/>
        </w:rPr>
      </w:pPr>
    </w:p>
    <w:p w14:paraId="50603340">
      <w:pPr>
        <w:keepNext w:val="0"/>
        <w:keepLines w:val="0"/>
        <w:pageBreakBefore w:val="0"/>
        <w:widowControl/>
        <w:kinsoku/>
        <w:wordWrap/>
        <w:overflowPunct/>
        <w:topLinePunct w:val="0"/>
        <w:autoSpaceDE/>
        <w:autoSpaceDN/>
        <w:bidi w:val="0"/>
        <w:adjustRightInd/>
        <w:snapToGrid/>
        <w:spacing w:after="0" w:line="440" w:lineRule="atLeast"/>
        <w:jc w:val="both"/>
        <w:textAlignment w:val="auto"/>
        <w:rPr>
          <w:rFonts w:hint="eastAsia" w:ascii="宋体" w:hAnsi="宋体" w:eastAsia="宋体" w:cs="宋体"/>
          <w:b w:val="0"/>
          <w:sz w:val="21"/>
          <w:szCs w:val="21"/>
        </w:rPr>
      </w:pPr>
    </w:p>
    <w:p w14:paraId="749B98FA">
      <w:pPr>
        <w:keepNext w:val="0"/>
        <w:keepLines w:val="0"/>
        <w:pageBreakBefore w:val="0"/>
        <w:widowControl/>
        <w:kinsoku/>
        <w:wordWrap/>
        <w:overflowPunct/>
        <w:topLinePunct w:val="0"/>
        <w:autoSpaceDE/>
        <w:autoSpaceDN/>
        <w:bidi w:val="0"/>
        <w:adjustRightInd/>
        <w:snapToGrid/>
        <w:spacing w:after="0" w:line="440" w:lineRule="atLeast"/>
        <w:jc w:val="both"/>
        <w:textAlignment w:val="auto"/>
        <w:rPr>
          <w:rFonts w:hint="eastAsia" w:ascii="宋体" w:hAnsi="宋体" w:eastAsia="宋体" w:cs="宋体"/>
          <w:b w:val="0"/>
          <w:sz w:val="21"/>
          <w:szCs w:val="21"/>
        </w:rPr>
      </w:pPr>
    </w:p>
    <w:p w14:paraId="27873180">
      <w:pPr>
        <w:keepNext w:val="0"/>
        <w:keepLines w:val="0"/>
        <w:pageBreakBefore w:val="0"/>
        <w:widowControl/>
        <w:kinsoku/>
        <w:wordWrap/>
        <w:overflowPunct/>
        <w:topLinePunct w:val="0"/>
        <w:autoSpaceDE/>
        <w:autoSpaceDN/>
        <w:bidi w:val="0"/>
        <w:adjustRightInd/>
        <w:snapToGrid/>
        <w:spacing w:after="0" w:line="440" w:lineRule="atLeast"/>
        <w:jc w:val="both"/>
        <w:textAlignment w:val="auto"/>
        <w:rPr>
          <w:rFonts w:hint="eastAsia" w:ascii="宋体" w:hAnsi="宋体" w:eastAsia="宋体" w:cs="宋体"/>
          <w:b w:val="0"/>
          <w:sz w:val="21"/>
          <w:szCs w:val="21"/>
        </w:rPr>
      </w:pPr>
    </w:p>
    <w:p w14:paraId="1BFC87D0">
      <w:pPr>
        <w:keepNext w:val="0"/>
        <w:keepLines w:val="0"/>
        <w:pageBreakBefore w:val="0"/>
        <w:widowControl/>
        <w:kinsoku/>
        <w:wordWrap/>
        <w:overflowPunct/>
        <w:topLinePunct w:val="0"/>
        <w:autoSpaceDE/>
        <w:autoSpaceDN/>
        <w:bidi w:val="0"/>
        <w:adjustRightInd/>
        <w:snapToGrid/>
        <w:spacing w:after="0" w:line="440" w:lineRule="atLeast"/>
        <w:jc w:val="both"/>
        <w:textAlignment w:val="auto"/>
        <w:rPr>
          <w:rFonts w:hint="eastAsia" w:ascii="宋体" w:hAnsi="宋体" w:eastAsia="宋体" w:cs="宋体"/>
          <w:b w:val="0"/>
          <w:sz w:val="21"/>
          <w:szCs w:val="21"/>
        </w:rPr>
      </w:pPr>
    </w:p>
    <w:p w14:paraId="11ADE0A8">
      <w:pPr>
        <w:keepNext w:val="0"/>
        <w:keepLines w:val="0"/>
        <w:pageBreakBefore w:val="0"/>
        <w:widowControl/>
        <w:kinsoku/>
        <w:wordWrap/>
        <w:overflowPunct/>
        <w:topLinePunct w:val="0"/>
        <w:autoSpaceDE/>
        <w:autoSpaceDN/>
        <w:bidi w:val="0"/>
        <w:adjustRightInd/>
        <w:snapToGrid/>
        <w:spacing w:after="0" w:line="440" w:lineRule="atLeast"/>
        <w:jc w:val="both"/>
        <w:textAlignment w:val="auto"/>
        <w:rPr>
          <w:rFonts w:hint="eastAsia" w:ascii="宋体" w:hAnsi="宋体" w:eastAsia="宋体" w:cs="宋体"/>
          <w:b w:val="0"/>
          <w:sz w:val="21"/>
          <w:szCs w:val="21"/>
        </w:rPr>
      </w:pPr>
      <w:r>
        <w:rPr>
          <w:rFonts w:hint="eastAsia" w:ascii="宋体" w:hAnsi="宋体" w:eastAsia="宋体" w:cs="宋体"/>
          <w:b w:val="0"/>
          <w:sz w:val="21"/>
          <w:szCs w:val="21"/>
        </w:rPr>
        <w:t>D2、其他</w:t>
      </w:r>
    </w:p>
    <w:p w14:paraId="689EDB59">
      <w:pPr>
        <w:keepNext w:val="0"/>
        <w:keepLines w:val="0"/>
        <w:pageBreakBefore w:val="0"/>
        <w:widowControl/>
        <w:kinsoku/>
        <w:wordWrap/>
        <w:overflowPunct/>
        <w:topLinePunct w:val="0"/>
        <w:autoSpaceDE/>
        <w:autoSpaceDN/>
        <w:bidi w:val="0"/>
        <w:adjustRightInd/>
        <w:snapToGrid/>
        <w:spacing w:after="0" w:line="440" w:lineRule="atLeast"/>
        <w:jc w:val="both"/>
        <w:textAlignment w:val="auto"/>
        <w:rPr>
          <w:rFonts w:hint="eastAsia" w:ascii="宋体" w:hAnsi="宋体" w:eastAsia="宋体" w:cs="宋体"/>
          <w:b w:val="0"/>
          <w:sz w:val="21"/>
          <w:szCs w:val="21"/>
        </w:rPr>
      </w:pPr>
      <w:r>
        <w:rPr>
          <w:rFonts w:hint="eastAsia" w:ascii="宋体" w:hAnsi="宋体" w:eastAsia="宋体" w:cs="宋体"/>
          <w:b w:val="0"/>
          <w:sz w:val="21"/>
          <w:szCs w:val="21"/>
        </w:rPr>
        <w:t>投标人认为应补充提供的其他文件资料或说明。</w:t>
      </w:r>
    </w:p>
    <w:p w14:paraId="03C3DF66"/>
    <w:p w14:paraId="72AAA6B5"/>
    <w:p w14:paraId="3865508D"/>
    <w:p w14:paraId="33BD1954"/>
    <w:p w14:paraId="3D971281"/>
    <w:p w14:paraId="1610A2D6"/>
    <w:p w14:paraId="03AF42F5"/>
    <w:p w14:paraId="2D68EAE0"/>
    <w:p w14:paraId="1FD82BC2"/>
    <w:p w14:paraId="1D40C955"/>
    <w:p w14:paraId="137C6650"/>
    <w:p w14:paraId="6321398B">
      <w:pPr>
        <w:rPr>
          <w:rFonts w:hint="eastAsia" w:ascii="宋体" w:hAnsi="宋体" w:eastAsia="宋体" w:cs="宋体"/>
        </w:rPr>
      </w:pPr>
      <w:r>
        <w:rPr>
          <w:rFonts w:hint="eastAsia" w:ascii="宋体" w:hAnsi="宋体" w:eastAsia="宋体" w:cs="宋体"/>
          <w:b/>
        </w:rPr>
        <w:t>六、综合评分法评分细则</w:t>
      </w:r>
    </w:p>
    <w:p w14:paraId="6AA68E8A">
      <w:pPr>
        <w:rPr>
          <w:rFonts w:hint="eastAsia" w:ascii="宋体" w:hAnsi="宋体" w:eastAsia="宋体" w:cs="宋体"/>
        </w:rPr>
      </w:pPr>
      <w:r>
        <w:rPr>
          <w:rFonts w:hint="eastAsia" w:ascii="宋体" w:hAnsi="宋体" w:eastAsia="宋体" w:cs="宋体"/>
        </w:rPr>
        <w:t>本项目采用综合评分法进行评标，评分标准如下：</w:t>
      </w:r>
    </w:p>
    <w:p w14:paraId="6578CBD4">
      <w:pPr>
        <w:rPr>
          <w:rFonts w:hint="eastAsia" w:ascii="宋体" w:hAnsi="宋体" w:eastAsia="宋体" w:cs="宋体"/>
        </w:rPr>
      </w:pPr>
      <w:r>
        <w:rPr>
          <w:rFonts w:hint="eastAsia" w:ascii="宋体" w:hAnsi="宋体" w:eastAsia="宋体" w:cs="宋体"/>
          <w:b/>
        </w:rPr>
        <w:t>（一）评分因素及分值构成</w:t>
      </w:r>
    </w:p>
    <w:p w14:paraId="07CE989C">
      <w:pPr>
        <w:rPr>
          <w:rFonts w:hint="eastAsia" w:ascii="宋体" w:hAnsi="宋体" w:eastAsia="宋体" w:cs="宋体"/>
        </w:rPr>
      </w:pPr>
      <w:r>
        <w:rPr>
          <w:rFonts w:hint="eastAsia" w:ascii="宋体" w:hAnsi="宋体" w:eastAsia="宋体" w:cs="宋体"/>
        </w:rPr>
        <w:t>评分项目包括商务部分、技术部分和价格部分，总分100分。其中：</w:t>
      </w:r>
    </w:p>
    <w:p w14:paraId="3FE1104C">
      <w:pPr>
        <w:rPr>
          <w:rFonts w:hint="eastAsia" w:ascii="宋体" w:hAnsi="宋体" w:eastAsia="宋体" w:cs="宋体"/>
        </w:rPr>
      </w:pPr>
      <w:r>
        <w:rPr>
          <w:rFonts w:hint="eastAsia" w:ascii="宋体" w:hAnsi="宋体" w:eastAsia="宋体" w:cs="宋体"/>
        </w:rPr>
        <w:t>商务部分：35分</w:t>
      </w:r>
    </w:p>
    <w:p w14:paraId="4E6ACEC1">
      <w:pPr>
        <w:rPr>
          <w:rFonts w:hint="eastAsia" w:ascii="宋体" w:hAnsi="宋体" w:eastAsia="宋体" w:cs="宋体"/>
        </w:rPr>
      </w:pPr>
      <w:r>
        <w:rPr>
          <w:rFonts w:hint="eastAsia" w:ascii="宋体" w:hAnsi="宋体" w:eastAsia="宋体" w:cs="宋体"/>
        </w:rPr>
        <w:t>技术部分：45分</w:t>
      </w:r>
    </w:p>
    <w:p w14:paraId="5B03D24A">
      <w:pPr>
        <w:rPr>
          <w:rFonts w:hint="eastAsia" w:ascii="宋体" w:hAnsi="宋体" w:eastAsia="宋体" w:cs="宋体"/>
        </w:rPr>
      </w:pPr>
      <w:r>
        <w:rPr>
          <w:rFonts w:hint="eastAsia" w:ascii="宋体" w:hAnsi="宋体" w:eastAsia="宋体" w:cs="宋体"/>
        </w:rPr>
        <w:t>价格部分：20分</w:t>
      </w:r>
    </w:p>
    <w:p w14:paraId="3CF21971"/>
    <w:p w14:paraId="1E136E86">
      <w:pPr>
        <w:rPr>
          <w:rFonts w:hint="eastAsia" w:ascii="宋体" w:hAnsi="宋体" w:eastAsia="宋体" w:cs="宋体"/>
        </w:rPr>
      </w:pPr>
      <w:r>
        <w:rPr>
          <w:rFonts w:hint="eastAsia" w:ascii="宋体" w:hAnsi="宋体" w:eastAsia="宋体" w:cs="宋体"/>
          <w:b/>
        </w:rPr>
        <w:t>（二）商务部分评分标准（35分）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914"/>
        <w:gridCol w:w="7067"/>
        <w:gridCol w:w="551"/>
      </w:tblGrid>
      <w:tr w14:paraId="4252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3D8B8C79">
            <w:pPr>
              <w:rPr>
                <w:rFonts w:hint="eastAsia" w:ascii="宋体" w:hAnsi="宋体" w:eastAsia="宋体" w:cs="宋体"/>
              </w:rPr>
            </w:pPr>
            <w:r>
              <w:rPr>
                <w:rFonts w:hint="eastAsia" w:ascii="宋体" w:hAnsi="宋体" w:eastAsia="宋体" w:cs="宋体"/>
              </w:rPr>
              <w:t>序号</w:t>
            </w:r>
          </w:p>
        </w:tc>
        <w:tc>
          <w:tcPr>
            <w:tcW w:w="914" w:type="dxa"/>
            <w:tcBorders>
              <w:top w:val="single" w:color="auto" w:sz="4" w:space="0"/>
              <w:left w:val="single" w:color="auto" w:sz="4" w:space="0"/>
              <w:bottom w:val="single" w:color="auto" w:sz="4" w:space="0"/>
              <w:right w:val="single" w:color="auto" w:sz="4" w:space="0"/>
            </w:tcBorders>
          </w:tcPr>
          <w:p w14:paraId="0A59D03E">
            <w:pPr>
              <w:rPr>
                <w:rFonts w:hint="eastAsia" w:ascii="宋体" w:hAnsi="宋体" w:eastAsia="宋体" w:cs="宋体"/>
              </w:rPr>
            </w:pPr>
            <w:r>
              <w:rPr>
                <w:rFonts w:hint="eastAsia" w:ascii="宋体" w:hAnsi="宋体" w:eastAsia="宋体" w:cs="宋体"/>
              </w:rPr>
              <w:t>评分项目</w:t>
            </w:r>
          </w:p>
        </w:tc>
        <w:tc>
          <w:tcPr>
            <w:tcW w:w="7067" w:type="dxa"/>
            <w:tcBorders>
              <w:top w:val="single" w:color="auto" w:sz="4" w:space="0"/>
              <w:left w:val="single" w:color="auto" w:sz="4" w:space="0"/>
              <w:bottom w:val="single" w:color="auto" w:sz="4" w:space="0"/>
              <w:right w:val="single" w:color="auto" w:sz="4" w:space="0"/>
            </w:tcBorders>
          </w:tcPr>
          <w:p w14:paraId="6E678D73">
            <w:pPr>
              <w:rPr>
                <w:rFonts w:hint="eastAsia" w:ascii="宋体" w:hAnsi="宋体" w:eastAsia="宋体" w:cs="宋体"/>
              </w:rPr>
            </w:pPr>
            <w:r>
              <w:rPr>
                <w:rFonts w:hint="eastAsia" w:ascii="宋体" w:hAnsi="宋体" w:eastAsia="宋体" w:cs="宋体"/>
              </w:rPr>
              <w:t>评分标准</w:t>
            </w:r>
          </w:p>
        </w:tc>
        <w:tc>
          <w:tcPr>
            <w:tcBorders>
              <w:top w:val="single" w:color="auto" w:sz="4" w:space="0"/>
              <w:left w:val="single" w:color="auto" w:sz="4" w:space="0"/>
              <w:bottom w:val="single" w:color="auto" w:sz="4" w:space="0"/>
              <w:right w:val="single" w:color="auto" w:sz="4" w:space="0"/>
            </w:tcBorders>
          </w:tcPr>
          <w:p w14:paraId="65DDB74E">
            <w:pPr>
              <w:rPr>
                <w:rFonts w:hint="eastAsia" w:ascii="宋体" w:hAnsi="宋体" w:eastAsia="宋体" w:cs="宋体"/>
              </w:rPr>
            </w:pPr>
            <w:r>
              <w:rPr>
                <w:rFonts w:hint="eastAsia" w:ascii="宋体" w:hAnsi="宋体" w:eastAsia="宋体" w:cs="宋体"/>
              </w:rPr>
              <w:t>分值</w:t>
            </w:r>
          </w:p>
        </w:tc>
      </w:tr>
      <w:tr w14:paraId="1490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3BA0693F">
            <w:pPr>
              <w:rPr>
                <w:rFonts w:hint="eastAsia" w:ascii="宋体" w:hAnsi="宋体" w:eastAsia="宋体" w:cs="宋体"/>
              </w:rPr>
            </w:pPr>
            <w:r>
              <w:rPr>
                <w:rFonts w:hint="eastAsia" w:ascii="宋体" w:hAnsi="宋体" w:eastAsia="宋体" w:cs="宋体"/>
              </w:rPr>
              <w:t>1</w:t>
            </w:r>
          </w:p>
        </w:tc>
        <w:tc>
          <w:tcPr>
            <w:tcW w:w="914" w:type="dxa"/>
            <w:tcBorders>
              <w:top w:val="single" w:color="auto" w:sz="4" w:space="0"/>
              <w:left w:val="single" w:color="auto" w:sz="4" w:space="0"/>
              <w:bottom w:val="single" w:color="auto" w:sz="4" w:space="0"/>
              <w:right w:val="single" w:color="auto" w:sz="4" w:space="0"/>
            </w:tcBorders>
          </w:tcPr>
          <w:p w14:paraId="3A0F634B">
            <w:pPr>
              <w:rPr>
                <w:rFonts w:hint="eastAsia" w:ascii="宋体" w:hAnsi="宋体" w:eastAsia="宋体" w:cs="宋体"/>
              </w:rPr>
            </w:pPr>
            <w:r>
              <w:rPr>
                <w:rFonts w:hint="eastAsia" w:ascii="宋体" w:hAnsi="宋体" w:eastAsia="宋体" w:cs="宋体"/>
              </w:rPr>
              <w:t>企业资质与信誉</w:t>
            </w:r>
          </w:p>
        </w:tc>
        <w:tc>
          <w:tcPr>
            <w:tcW w:w="7067" w:type="dxa"/>
            <w:tcBorders>
              <w:top w:val="single" w:color="auto" w:sz="4" w:space="0"/>
              <w:left w:val="single" w:color="auto" w:sz="4" w:space="0"/>
              <w:bottom w:val="single" w:color="auto" w:sz="4" w:space="0"/>
              <w:right w:val="single" w:color="auto" w:sz="4" w:space="0"/>
            </w:tcBorders>
          </w:tcPr>
          <w:p w14:paraId="3B1293DD">
            <w:pPr>
              <w:rPr>
                <w:rFonts w:hint="eastAsia" w:ascii="宋体" w:hAnsi="宋体" w:eastAsia="宋体" w:cs="宋体"/>
              </w:rPr>
            </w:pPr>
            <w:r>
              <w:rPr>
                <w:rFonts w:hint="eastAsia" w:ascii="宋体" w:hAnsi="宋体" w:eastAsia="宋体" w:cs="宋体"/>
                <w:highlight w:val="none"/>
              </w:rPr>
              <w:t>投标人</w:t>
            </w:r>
            <w:r>
              <w:rPr>
                <w:rFonts w:hint="eastAsia" w:ascii="宋体" w:hAnsi="宋体" w:eastAsia="宋体" w:cs="宋体"/>
                <w:highlight w:val="none"/>
                <w:lang w:val="en-US" w:eastAsia="zh-CN"/>
              </w:rPr>
              <w:t>提供</w:t>
            </w:r>
            <w:r>
              <w:rPr>
                <w:rFonts w:hint="eastAsia" w:ascii="宋体" w:hAnsi="宋体" w:eastAsia="宋体" w:cs="宋体"/>
                <w:highlight w:val="none"/>
              </w:rPr>
              <w:t>有效的质量管理体系认证、环境管理体系认证、职业健康安全管理体系认证，每提供一项得1分，最高3分。</w:t>
            </w:r>
          </w:p>
        </w:tc>
        <w:tc>
          <w:tcPr>
            <w:tcBorders>
              <w:top w:val="single" w:color="auto" w:sz="4" w:space="0"/>
              <w:left w:val="single" w:color="auto" w:sz="4" w:space="0"/>
              <w:bottom w:val="single" w:color="auto" w:sz="4" w:space="0"/>
              <w:right w:val="single" w:color="auto" w:sz="4" w:space="0"/>
            </w:tcBorders>
          </w:tcPr>
          <w:p w14:paraId="447BAFC5">
            <w:pPr>
              <w:rPr>
                <w:rFonts w:hint="eastAsia" w:ascii="宋体" w:hAnsi="宋体" w:eastAsia="宋体" w:cs="宋体"/>
              </w:rPr>
            </w:pPr>
            <w:r>
              <w:rPr>
                <w:rFonts w:hint="eastAsia" w:ascii="宋体" w:hAnsi="宋体" w:eastAsia="宋体" w:cs="宋体"/>
              </w:rPr>
              <w:t>3分</w:t>
            </w:r>
          </w:p>
        </w:tc>
      </w:tr>
      <w:tr w14:paraId="2C16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6BAEEAB2">
            <w:pPr>
              <w:rPr>
                <w:rFonts w:hint="eastAsia" w:ascii="宋体" w:hAnsi="宋体" w:eastAsia="宋体" w:cs="宋体"/>
              </w:rPr>
            </w:pPr>
            <w:r>
              <w:rPr>
                <w:rFonts w:hint="eastAsia" w:ascii="宋体" w:hAnsi="宋体" w:eastAsia="宋体" w:cs="宋体"/>
              </w:rPr>
              <w:t>2</w:t>
            </w:r>
          </w:p>
        </w:tc>
        <w:tc>
          <w:tcPr>
            <w:tcW w:w="914" w:type="dxa"/>
            <w:tcBorders>
              <w:top w:val="single" w:color="auto" w:sz="4" w:space="0"/>
              <w:left w:val="single" w:color="auto" w:sz="4" w:space="0"/>
              <w:bottom w:val="single" w:color="auto" w:sz="4" w:space="0"/>
              <w:right w:val="single" w:color="auto" w:sz="4" w:space="0"/>
            </w:tcBorders>
          </w:tcPr>
          <w:p w14:paraId="4F39D025">
            <w:pPr>
              <w:rPr>
                <w:rFonts w:hint="eastAsia" w:ascii="宋体" w:hAnsi="宋体" w:eastAsia="宋体" w:cs="宋体"/>
              </w:rPr>
            </w:pPr>
            <w:r>
              <w:rPr>
                <w:rFonts w:hint="eastAsia" w:ascii="宋体" w:hAnsi="宋体" w:eastAsia="宋体" w:cs="宋体"/>
              </w:rPr>
              <w:t>本地化服务能力</w:t>
            </w:r>
          </w:p>
        </w:tc>
        <w:tc>
          <w:tcPr>
            <w:tcW w:w="7067" w:type="dxa"/>
            <w:tcBorders>
              <w:top w:val="single" w:color="auto" w:sz="4" w:space="0"/>
              <w:left w:val="single" w:color="auto" w:sz="4" w:space="0"/>
              <w:bottom w:val="single" w:color="auto" w:sz="4" w:space="0"/>
              <w:right w:val="single" w:color="auto" w:sz="4" w:space="0"/>
            </w:tcBorders>
          </w:tcPr>
          <w:p w14:paraId="3302C8EF">
            <w:pPr>
              <w:rPr>
                <w:rFonts w:hint="eastAsia" w:ascii="宋体" w:hAnsi="宋体" w:eastAsia="宋体" w:cs="宋体"/>
              </w:rPr>
            </w:pPr>
            <w:r>
              <w:rPr>
                <w:rFonts w:hint="eastAsia" w:ascii="宋体" w:hAnsi="宋体" w:eastAsia="宋体" w:cs="宋体"/>
              </w:rPr>
              <w:t>投标人在项目周边20公里内设立常驻运维服务站或具备快速响应能力的，得3分；配备应急车辆、备品备件库的，得2分。</w:t>
            </w:r>
          </w:p>
        </w:tc>
        <w:tc>
          <w:tcPr>
            <w:tcBorders>
              <w:top w:val="single" w:color="auto" w:sz="4" w:space="0"/>
              <w:left w:val="single" w:color="auto" w:sz="4" w:space="0"/>
              <w:bottom w:val="single" w:color="auto" w:sz="4" w:space="0"/>
              <w:right w:val="single" w:color="auto" w:sz="4" w:space="0"/>
            </w:tcBorders>
          </w:tcPr>
          <w:p w14:paraId="408C0B54">
            <w:pPr>
              <w:rPr>
                <w:rFonts w:hint="eastAsia" w:ascii="宋体" w:hAnsi="宋体" w:eastAsia="宋体" w:cs="宋体"/>
              </w:rPr>
            </w:pPr>
            <w:r>
              <w:rPr>
                <w:rFonts w:hint="eastAsia" w:ascii="宋体" w:hAnsi="宋体" w:eastAsia="宋体" w:cs="宋体"/>
              </w:rPr>
              <w:t>5分</w:t>
            </w:r>
          </w:p>
        </w:tc>
      </w:tr>
      <w:tr w14:paraId="483B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07525AE4">
            <w:pPr>
              <w:rPr>
                <w:rFonts w:hint="eastAsia" w:ascii="宋体" w:hAnsi="宋体" w:eastAsia="宋体" w:cs="宋体"/>
              </w:rPr>
            </w:pPr>
            <w:r>
              <w:rPr>
                <w:rFonts w:hint="eastAsia" w:ascii="宋体" w:hAnsi="宋体" w:eastAsia="宋体" w:cs="宋体"/>
              </w:rPr>
              <w:t>3</w:t>
            </w:r>
          </w:p>
        </w:tc>
        <w:tc>
          <w:tcPr>
            <w:tcW w:w="914" w:type="dxa"/>
            <w:tcBorders>
              <w:top w:val="single" w:color="auto" w:sz="4" w:space="0"/>
              <w:left w:val="single" w:color="auto" w:sz="4" w:space="0"/>
              <w:bottom w:val="single" w:color="auto" w:sz="4" w:space="0"/>
              <w:right w:val="single" w:color="auto" w:sz="4" w:space="0"/>
            </w:tcBorders>
          </w:tcPr>
          <w:p w14:paraId="4CFFB787">
            <w:pPr>
              <w:rPr>
                <w:rFonts w:hint="eastAsia" w:ascii="宋体" w:hAnsi="宋体" w:eastAsia="宋体" w:cs="宋体"/>
              </w:rPr>
            </w:pPr>
            <w:r>
              <w:rPr>
                <w:rFonts w:hint="eastAsia" w:ascii="宋体" w:hAnsi="宋体" w:eastAsia="宋体" w:cs="宋体"/>
              </w:rPr>
              <w:t>项目团队配置</w:t>
            </w:r>
          </w:p>
        </w:tc>
        <w:tc>
          <w:tcPr>
            <w:tcW w:w="7067" w:type="dxa"/>
            <w:tcBorders>
              <w:top w:val="single" w:color="auto" w:sz="4" w:space="0"/>
              <w:left w:val="single" w:color="auto" w:sz="4" w:space="0"/>
              <w:bottom w:val="single" w:color="auto" w:sz="4" w:space="0"/>
              <w:right w:val="single" w:color="auto" w:sz="4" w:space="0"/>
            </w:tcBorders>
          </w:tcPr>
          <w:p w14:paraId="4BDEA339">
            <w:pPr>
              <w:rPr>
                <w:rFonts w:hint="eastAsia" w:ascii="宋体" w:hAnsi="宋体" w:eastAsia="宋体" w:cs="宋体"/>
              </w:rPr>
            </w:pPr>
            <w:r>
              <w:rPr>
                <w:rFonts w:hint="eastAsia" w:ascii="宋体" w:hAnsi="宋体" w:eastAsia="宋体" w:cs="宋体"/>
              </w:rPr>
              <w:t>项目负责人具有机电工程相关专业中级及以上职称的，得2分；具有高级及以上职称的，得3分。运维工程师不少于2名且持有效电工证的，得2分；每增加1名得1分，最高4分。</w:t>
            </w:r>
          </w:p>
        </w:tc>
        <w:tc>
          <w:tcPr>
            <w:tcBorders>
              <w:top w:val="single" w:color="auto" w:sz="4" w:space="0"/>
              <w:left w:val="single" w:color="auto" w:sz="4" w:space="0"/>
              <w:bottom w:val="single" w:color="auto" w:sz="4" w:space="0"/>
              <w:right w:val="single" w:color="auto" w:sz="4" w:space="0"/>
            </w:tcBorders>
          </w:tcPr>
          <w:p w14:paraId="353FE235">
            <w:pPr>
              <w:rPr>
                <w:rFonts w:hint="eastAsia" w:ascii="宋体" w:hAnsi="宋体" w:eastAsia="宋体" w:cs="宋体"/>
              </w:rPr>
            </w:pPr>
            <w:r>
              <w:rPr>
                <w:rFonts w:hint="eastAsia" w:ascii="宋体" w:hAnsi="宋体" w:eastAsia="宋体" w:cs="宋体"/>
              </w:rPr>
              <w:t>7分</w:t>
            </w:r>
          </w:p>
        </w:tc>
      </w:tr>
      <w:tr w14:paraId="56C2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2FD9A3F3">
            <w:pPr>
              <w:rPr>
                <w:rFonts w:hint="eastAsia" w:ascii="宋体" w:hAnsi="宋体" w:eastAsia="宋体" w:cs="宋体"/>
              </w:rPr>
            </w:pPr>
            <w:r>
              <w:rPr>
                <w:rFonts w:hint="eastAsia" w:ascii="宋体" w:hAnsi="宋体" w:eastAsia="宋体" w:cs="宋体"/>
              </w:rPr>
              <w:t>4</w:t>
            </w:r>
          </w:p>
        </w:tc>
        <w:tc>
          <w:tcPr>
            <w:tcW w:w="914" w:type="dxa"/>
            <w:tcBorders>
              <w:top w:val="single" w:color="auto" w:sz="4" w:space="0"/>
              <w:left w:val="single" w:color="auto" w:sz="4" w:space="0"/>
              <w:bottom w:val="single" w:color="auto" w:sz="4" w:space="0"/>
              <w:right w:val="single" w:color="auto" w:sz="4" w:space="0"/>
            </w:tcBorders>
          </w:tcPr>
          <w:p w14:paraId="3CDBB2DE">
            <w:pPr>
              <w:rPr>
                <w:rFonts w:hint="eastAsia" w:ascii="宋体" w:hAnsi="宋体" w:eastAsia="宋体" w:cs="宋体"/>
              </w:rPr>
            </w:pPr>
            <w:r>
              <w:rPr>
                <w:rFonts w:hint="eastAsia" w:ascii="宋体" w:hAnsi="宋体" w:eastAsia="宋体" w:cs="宋体"/>
              </w:rPr>
              <w:t>平台运营能力</w:t>
            </w:r>
          </w:p>
        </w:tc>
        <w:tc>
          <w:tcPr>
            <w:tcW w:w="7067" w:type="dxa"/>
            <w:tcBorders>
              <w:top w:val="single" w:color="auto" w:sz="4" w:space="0"/>
              <w:left w:val="single" w:color="auto" w:sz="4" w:space="0"/>
              <w:bottom w:val="single" w:color="auto" w:sz="4" w:space="0"/>
              <w:right w:val="single" w:color="auto" w:sz="4" w:space="0"/>
            </w:tcBorders>
          </w:tcPr>
          <w:p w14:paraId="4170B8BC">
            <w:pPr>
              <w:rPr>
                <w:rFonts w:hint="eastAsia" w:ascii="宋体" w:hAnsi="宋体" w:eastAsia="宋体" w:cs="宋体"/>
              </w:rPr>
            </w:pPr>
            <w:r>
              <w:rPr>
                <w:rFonts w:hint="eastAsia" w:ascii="宋体" w:hAnsi="宋体" w:eastAsia="宋体" w:cs="宋体"/>
              </w:rPr>
              <w:t>拟接入平台日均充电订单数达到1000单及以上的，得5分；500-999单的，得3分；100-499单的，得1分。</w:t>
            </w:r>
          </w:p>
        </w:tc>
        <w:tc>
          <w:tcPr>
            <w:tcBorders>
              <w:top w:val="single" w:color="auto" w:sz="4" w:space="0"/>
              <w:left w:val="single" w:color="auto" w:sz="4" w:space="0"/>
              <w:bottom w:val="single" w:color="auto" w:sz="4" w:space="0"/>
              <w:right w:val="single" w:color="auto" w:sz="4" w:space="0"/>
            </w:tcBorders>
          </w:tcPr>
          <w:p w14:paraId="2F46716C">
            <w:pPr>
              <w:rPr>
                <w:rFonts w:hint="eastAsia" w:ascii="宋体" w:hAnsi="宋体" w:eastAsia="宋体" w:cs="宋体"/>
              </w:rPr>
            </w:pPr>
            <w:r>
              <w:rPr>
                <w:rFonts w:hint="eastAsia" w:ascii="宋体" w:hAnsi="宋体" w:eastAsia="宋体" w:cs="宋体"/>
              </w:rPr>
              <w:t>5分</w:t>
            </w:r>
          </w:p>
        </w:tc>
      </w:tr>
      <w:tr w14:paraId="7D20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61E78357">
            <w:pPr>
              <w:rPr>
                <w:rFonts w:hint="eastAsia" w:ascii="宋体" w:hAnsi="宋体" w:eastAsia="宋体" w:cs="宋体"/>
              </w:rPr>
            </w:pPr>
            <w:r>
              <w:rPr>
                <w:rFonts w:hint="eastAsia" w:ascii="宋体" w:hAnsi="宋体" w:eastAsia="宋体" w:cs="宋体"/>
              </w:rPr>
              <w:t>5</w:t>
            </w:r>
          </w:p>
        </w:tc>
        <w:tc>
          <w:tcPr>
            <w:tcW w:w="914" w:type="dxa"/>
            <w:tcBorders>
              <w:top w:val="single" w:color="auto" w:sz="4" w:space="0"/>
              <w:left w:val="single" w:color="auto" w:sz="4" w:space="0"/>
              <w:bottom w:val="single" w:color="auto" w:sz="4" w:space="0"/>
              <w:right w:val="single" w:color="auto" w:sz="4" w:space="0"/>
            </w:tcBorders>
          </w:tcPr>
          <w:p w14:paraId="6FF334F6">
            <w:pPr>
              <w:rPr>
                <w:rFonts w:hint="eastAsia" w:ascii="宋体" w:hAnsi="宋体" w:eastAsia="宋体" w:cs="宋体"/>
              </w:rPr>
            </w:pPr>
            <w:r>
              <w:rPr>
                <w:rFonts w:hint="eastAsia" w:ascii="宋体" w:hAnsi="宋体" w:eastAsia="宋体" w:cs="宋体"/>
              </w:rPr>
              <w:t>类似项目业绩</w:t>
            </w:r>
          </w:p>
        </w:tc>
        <w:tc>
          <w:tcPr>
            <w:tcW w:w="7067" w:type="dxa"/>
            <w:tcBorders>
              <w:top w:val="single" w:color="auto" w:sz="4" w:space="0"/>
              <w:left w:val="single" w:color="auto" w:sz="4" w:space="0"/>
              <w:bottom w:val="single" w:color="auto" w:sz="4" w:space="0"/>
              <w:right w:val="single" w:color="auto" w:sz="4" w:space="0"/>
            </w:tcBorders>
          </w:tcPr>
          <w:p w14:paraId="69672626">
            <w:pPr>
              <w:rPr>
                <w:rFonts w:hint="eastAsia" w:ascii="宋体" w:hAnsi="宋体" w:eastAsia="宋体" w:cs="宋体"/>
              </w:rPr>
            </w:pPr>
            <w:r>
              <w:rPr>
                <w:rFonts w:hint="eastAsia" w:ascii="宋体" w:hAnsi="宋体" w:eastAsia="宋体" w:cs="宋体"/>
              </w:rPr>
              <w:t>投标人每提供一个正在运营的充电站项目业绩（需提供合同或运营证明），得2分，最高10分；其中包含光储充一体化项目的，每个额外加1分，最高加5分。</w:t>
            </w:r>
          </w:p>
        </w:tc>
        <w:tc>
          <w:tcPr>
            <w:tcBorders>
              <w:top w:val="single" w:color="auto" w:sz="4" w:space="0"/>
              <w:left w:val="single" w:color="auto" w:sz="4" w:space="0"/>
              <w:bottom w:val="single" w:color="auto" w:sz="4" w:space="0"/>
              <w:right w:val="single" w:color="auto" w:sz="4" w:space="0"/>
            </w:tcBorders>
          </w:tcPr>
          <w:p w14:paraId="31AB13D8">
            <w:pPr>
              <w:rPr>
                <w:rFonts w:hint="eastAsia" w:ascii="宋体" w:hAnsi="宋体" w:eastAsia="宋体" w:cs="宋体"/>
              </w:rPr>
            </w:pPr>
            <w:r>
              <w:rPr>
                <w:rFonts w:hint="eastAsia" w:ascii="宋体" w:hAnsi="宋体" w:eastAsia="宋体" w:cs="宋体"/>
              </w:rPr>
              <w:t>15分</w:t>
            </w:r>
          </w:p>
        </w:tc>
      </w:tr>
    </w:tbl>
    <w:p w14:paraId="44258B3F">
      <w:pPr>
        <w:rPr>
          <w:rFonts w:hint="eastAsia" w:ascii="宋体" w:hAnsi="宋体" w:eastAsia="宋体" w:cs="宋体"/>
        </w:rPr>
      </w:pPr>
    </w:p>
    <w:p w14:paraId="5DAD298D">
      <w:pPr>
        <w:rPr>
          <w:rFonts w:hint="eastAsia" w:ascii="宋体" w:hAnsi="宋体" w:eastAsia="宋体" w:cs="宋体"/>
        </w:rPr>
      </w:pPr>
      <w:r>
        <w:rPr>
          <w:rFonts w:hint="eastAsia" w:ascii="宋体" w:hAnsi="宋体" w:eastAsia="宋体" w:cs="宋体"/>
          <w:b/>
        </w:rPr>
        <w:t>（三）技术部分评分标准（45分）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272"/>
        <w:gridCol w:w="6707"/>
        <w:gridCol w:w="552"/>
      </w:tblGrid>
      <w:tr w14:paraId="01AF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4B24F279">
            <w:pPr>
              <w:rPr>
                <w:rFonts w:hint="eastAsia" w:ascii="宋体" w:hAnsi="宋体" w:eastAsia="宋体" w:cs="宋体"/>
              </w:rPr>
            </w:pPr>
            <w:r>
              <w:rPr>
                <w:rFonts w:hint="eastAsia" w:ascii="宋体" w:hAnsi="宋体" w:eastAsia="宋体" w:cs="宋体"/>
              </w:rPr>
              <w:t>序号</w:t>
            </w:r>
          </w:p>
        </w:tc>
        <w:tc>
          <w:tcPr>
            <w:tcBorders>
              <w:top w:val="single" w:color="auto" w:sz="4" w:space="0"/>
              <w:left w:val="single" w:color="auto" w:sz="4" w:space="0"/>
              <w:bottom w:val="single" w:color="auto" w:sz="4" w:space="0"/>
              <w:right w:val="single" w:color="auto" w:sz="4" w:space="0"/>
            </w:tcBorders>
          </w:tcPr>
          <w:p w14:paraId="2465EE05">
            <w:pPr>
              <w:rPr>
                <w:rFonts w:hint="eastAsia" w:ascii="宋体" w:hAnsi="宋体" w:eastAsia="宋体" w:cs="宋体"/>
              </w:rPr>
            </w:pPr>
            <w:r>
              <w:rPr>
                <w:rFonts w:hint="eastAsia" w:ascii="宋体" w:hAnsi="宋体" w:eastAsia="宋体" w:cs="宋体"/>
              </w:rPr>
              <w:t>评分项目</w:t>
            </w:r>
          </w:p>
        </w:tc>
        <w:tc>
          <w:tcPr>
            <w:tcBorders>
              <w:top w:val="single" w:color="auto" w:sz="4" w:space="0"/>
              <w:left w:val="single" w:color="auto" w:sz="4" w:space="0"/>
              <w:bottom w:val="single" w:color="auto" w:sz="4" w:space="0"/>
              <w:right w:val="single" w:color="auto" w:sz="4" w:space="0"/>
            </w:tcBorders>
          </w:tcPr>
          <w:p w14:paraId="1F28938D">
            <w:pPr>
              <w:rPr>
                <w:rFonts w:hint="eastAsia" w:ascii="宋体" w:hAnsi="宋体" w:eastAsia="宋体" w:cs="宋体"/>
              </w:rPr>
            </w:pPr>
            <w:r>
              <w:rPr>
                <w:rFonts w:hint="eastAsia" w:ascii="宋体" w:hAnsi="宋体" w:eastAsia="宋体" w:cs="宋体"/>
              </w:rPr>
              <w:t>评分标准</w:t>
            </w:r>
          </w:p>
        </w:tc>
        <w:tc>
          <w:tcPr>
            <w:tcBorders>
              <w:top w:val="single" w:color="auto" w:sz="4" w:space="0"/>
              <w:left w:val="single" w:color="auto" w:sz="4" w:space="0"/>
              <w:bottom w:val="single" w:color="auto" w:sz="4" w:space="0"/>
              <w:right w:val="single" w:color="auto" w:sz="4" w:space="0"/>
            </w:tcBorders>
          </w:tcPr>
          <w:p w14:paraId="12F8E014">
            <w:pPr>
              <w:rPr>
                <w:rFonts w:hint="eastAsia" w:ascii="宋体" w:hAnsi="宋体" w:eastAsia="宋体" w:cs="宋体"/>
              </w:rPr>
            </w:pPr>
            <w:r>
              <w:rPr>
                <w:rFonts w:hint="eastAsia" w:ascii="宋体" w:hAnsi="宋体" w:eastAsia="宋体" w:cs="宋体"/>
              </w:rPr>
              <w:t>分值</w:t>
            </w:r>
          </w:p>
        </w:tc>
      </w:tr>
      <w:tr w14:paraId="206C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7F0927B4">
            <w:pPr>
              <w:rPr>
                <w:rFonts w:hint="eastAsia" w:ascii="宋体" w:hAnsi="宋体" w:eastAsia="宋体" w:cs="宋体"/>
              </w:rPr>
            </w:pPr>
            <w:r>
              <w:rPr>
                <w:rFonts w:hint="eastAsia" w:ascii="宋体" w:hAnsi="宋体" w:eastAsia="宋体" w:cs="宋体"/>
              </w:rPr>
              <w:t>1</w:t>
            </w:r>
          </w:p>
        </w:tc>
        <w:tc>
          <w:tcPr>
            <w:tcBorders>
              <w:top w:val="single" w:color="auto" w:sz="4" w:space="0"/>
              <w:left w:val="single" w:color="auto" w:sz="4" w:space="0"/>
              <w:bottom w:val="single" w:color="auto" w:sz="4" w:space="0"/>
              <w:right w:val="single" w:color="auto" w:sz="4" w:space="0"/>
            </w:tcBorders>
          </w:tcPr>
          <w:p w14:paraId="0617B1CA">
            <w:pPr>
              <w:rPr>
                <w:rFonts w:hint="eastAsia" w:ascii="宋体" w:hAnsi="宋体" w:eastAsia="宋体" w:cs="宋体"/>
              </w:rPr>
            </w:pPr>
            <w:r>
              <w:rPr>
                <w:rFonts w:hint="eastAsia" w:ascii="宋体" w:hAnsi="宋体" w:eastAsia="宋体" w:cs="宋体"/>
              </w:rPr>
              <w:t>运营管理方案</w:t>
            </w:r>
          </w:p>
        </w:tc>
        <w:tc>
          <w:tcPr>
            <w:tcBorders>
              <w:top w:val="single" w:color="auto" w:sz="4" w:space="0"/>
              <w:left w:val="single" w:color="auto" w:sz="4" w:space="0"/>
              <w:bottom w:val="single" w:color="auto" w:sz="4" w:space="0"/>
              <w:right w:val="single" w:color="auto" w:sz="4" w:space="0"/>
            </w:tcBorders>
          </w:tcPr>
          <w:p w14:paraId="175EBB69">
            <w:pPr>
              <w:rPr>
                <w:rFonts w:hint="eastAsia" w:ascii="宋体" w:hAnsi="宋体" w:eastAsia="宋体" w:cs="宋体"/>
              </w:rPr>
            </w:pPr>
            <w:r>
              <w:rPr>
                <w:rFonts w:hint="eastAsia" w:ascii="宋体" w:hAnsi="宋体" w:eastAsia="宋体" w:cs="宋体"/>
              </w:rPr>
              <w:t>方案完整、科学合理、可操作性强的，得8-10分；方案较完整、较合理的，得5-7分；方案基本满足要求的，得1-4分。</w:t>
            </w:r>
          </w:p>
        </w:tc>
        <w:tc>
          <w:tcPr>
            <w:tcBorders>
              <w:top w:val="single" w:color="auto" w:sz="4" w:space="0"/>
              <w:left w:val="single" w:color="auto" w:sz="4" w:space="0"/>
              <w:bottom w:val="single" w:color="auto" w:sz="4" w:space="0"/>
              <w:right w:val="single" w:color="auto" w:sz="4" w:space="0"/>
            </w:tcBorders>
          </w:tcPr>
          <w:p w14:paraId="3C3ACEA7">
            <w:pPr>
              <w:rPr>
                <w:rFonts w:hint="eastAsia" w:ascii="宋体" w:hAnsi="宋体" w:eastAsia="宋体" w:cs="宋体"/>
              </w:rPr>
            </w:pPr>
            <w:r>
              <w:rPr>
                <w:rFonts w:hint="eastAsia" w:ascii="宋体" w:hAnsi="宋体" w:eastAsia="宋体" w:cs="宋体"/>
              </w:rPr>
              <w:t>10分</w:t>
            </w:r>
          </w:p>
        </w:tc>
      </w:tr>
      <w:tr w14:paraId="739F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212C9B49">
            <w:pPr>
              <w:rPr>
                <w:rFonts w:hint="eastAsia" w:ascii="宋体" w:hAnsi="宋体" w:eastAsia="宋体" w:cs="宋体"/>
              </w:rPr>
            </w:pPr>
            <w:r>
              <w:rPr>
                <w:rFonts w:hint="eastAsia" w:ascii="宋体" w:hAnsi="宋体" w:eastAsia="宋体" w:cs="宋体"/>
              </w:rPr>
              <w:t>2</w:t>
            </w:r>
          </w:p>
        </w:tc>
        <w:tc>
          <w:tcPr>
            <w:tcBorders>
              <w:top w:val="single" w:color="auto" w:sz="4" w:space="0"/>
              <w:left w:val="single" w:color="auto" w:sz="4" w:space="0"/>
              <w:bottom w:val="single" w:color="auto" w:sz="4" w:space="0"/>
              <w:right w:val="single" w:color="auto" w:sz="4" w:space="0"/>
            </w:tcBorders>
          </w:tcPr>
          <w:p w14:paraId="66119CF8">
            <w:pPr>
              <w:rPr>
                <w:rFonts w:hint="eastAsia" w:ascii="宋体" w:hAnsi="宋体" w:eastAsia="宋体" w:cs="宋体"/>
              </w:rPr>
            </w:pPr>
            <w:r>
              <w:rPr>
                <w:rFonts w:hint="eastAsia" w:ascii="宋体" w:hAnsi="宋体" w:eastAsia="宋体" w:cs="宋体"/>
              </w:rPr>
              <w:t>光储充一体化调度能力</w:t>
            </w:r>
          </w:p>
        </w:tc>
        <w:tc>
          <w:tcPr>
            <w:tcBorders>
              <w:top w:val="single" w:color="auto" w:sz="4" w:space="0"/>
              <w:left w:val="single" w:color="auto" w:sz="4" w:space="0"/>
              <w:bottom w:val="single" w:color="auto" w:sz="4" w:space="0"/>
              <w:right w:val="single" w:color="auto" w:sz="4" w:space="0"/>
            </w:tcBorders>
          </w:tcPr>
          <w:p w14:paraId="33785169">
            <w:pPr>
              <w:rPr>
                <w:rFonts w:hint="eastAsia" w:ascii="宋体" w:hAnsi="宋体" w:eastAsia="宋体" w:cs="宋体"/>
              </w:rPr>
            </w:pPr>
            <w:r>
              <w:rPr>
                <w:rFonts w:hint="eastAsia" w:ascii="宋体" w:hAnsi="宋体" w:eastAsia="宋体" w:cs="宋体"/>
              </w:rPr>
              <w:t>具备完善的储能策略管理、需求侧响应、光伏消纳优化方案的，得5-7分；方案基本可行的，得1-4分。</w:t>
            </w:r>
          </w:p>
        </w:tc>
        <w:tc>
          <w:tcPr>
            <w:tcBorders>
              <w:top w:val="single" w:color="auto" w:sz="4" w:space="0"/>
              <w:left w:val="single" w:color="auto" w:sz="4" w:space="0"/>
              <w:bottom w:val="single" w:color="auto" w:sz="4" w:space="0"/>
              <w:right w:val="single" w:color="auto" w:sz="4" w:space="0"/>
            </w:tcBorders>
          </w:tcPr>
          <w:p w14:paraId="1F0B4D9A">
            <w:pPr>
              <w:rPr>
                <w:rFonts w:hint="eastAsia" w:ascii="宋体" w:hAnsi="宋体" w:eastAsia="宋体" w:cs="宋体"/>
              </w:rPr>
            </w:pPr>
            <w:r>
              <w:rPr>
                <w:rFonts w:hint="eastAsia" w:ascii="宋体" w:hAnsi="宋体" w:eastAsia="宋体" w:cs="宋体"/>
              </w:rPr>
              <w:t>7分</w:t>
            </w:r>
          </w:p>
        </w:tc>
      </w:tr>
      <w:tr w14:paraId="1988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17F5116C">
            <w:pPr>
              <w:rPr>
                <w:rFonts w:hint="eastAsia" w:ascii="宋体" w:hAnsi="宋体" w:eastAsia="宋体" w:cs="宋体"/>
              </w:rPr>
            </w:pPr>
            <w:r>
              <w:rPr>
                <w:rFonts w:hint="eastAsia" w:ascii="宋体" w:hAnsi="宋体" w:eastAsia="宋体" w:cs="宋体"/>
              </w:rPr>
              <w:t>3</w:t>
            </w:r>
          </w:p>
        </w:tc>
        <w:tc>
          <w:tcPr>
            <w:tcBorders>
              <w:top w:val="single" w:color="auto" w:sz="4" w:space="0"/>
              <w:left w:val="single" w:color="auto" w:sz="4" w:space="0"/>
              <w:bottom w:val="single" w:color="auto" w:sz="4" w:space="0"/>
              <w:right w:val="single" w:color="auto" w:sz="4" w:space="0"/>
            </w:tcBorders>
          </w:tcPr>
          <w:p w14:paraId="02232F1F">
            <w:pPr>
              <w:rPr>
                <w:rFonts w:hint="eastAsia" w:ascii="宋体" w:hAnsi="宋体" w:eastAsia="宋体" w:cs="宋体"/>
              </w:rPr>
            </w:pPr>
            <w:r>
              <w:rPr>
                <w:rFonts w:hint="eastAsia" w:ascii="宋体" w:hAnsi="宋体" w:eastAsia="宋体" w:cs="宋体"/>
              </w:rPr>
              <w:t>故障响应与保障机制</w:t>
            </w:r>
          </w:p>
        </w:tc>
        <w:tc>
          <w:tcPr>
            <w:tcBorders>
              <w:top w:val="single" w:color="auto" w:sz="4" w:space="0"/>
              <w:left w:val="single" w:color="auto" w:sz="4" w:space="0"/>
              <w:bottom w:val="single" w:color="auto" w:sz="4" w:space="0"/>
              <w:right w:val="single" w:color="auto" w:sz="4" w:space="0"/>
            </w:tcBorders>
          </w:tcPr>
          <w:p w14:paraId="2AAC119F">
            <w:pPr>
              <w:rPr>
                <w:rFonts w:hint="eastAsia" w:ascii="宋体" w:hAnsi="宋体" w:eastAsia="宋体" w:cs="宋体"/>
              </w:rPr>
            </w:pPr>
            <w:r>
              <w:rPr>
                <w:rFonts w:hint="eastAsia" w:ascii="宋体" w:hAnsi="宋体" w:eastAsia="宋体" w:cs="宋体"/>
              </w:rPr>
              <w:t>故障响应时效承诺满足或优于招标文件要求的（30分钟响应、2小时常规故障处理、4小时重大故障恢复），得5分；备件保障方案完善的，得3分。</w:t>
            </w:r>
          </w:p>
        </w:tc>
        <w:tc>
          <w:tcPr>
            <w:tcBorders>
              <w:top w:val="single" w:color="auto" w:sz="4" w:space="0"/>
              <w:left w:val="single" w:color="auto" w:sz="4" w:space="0"/>
              <w:bottom w:val="single" w:color="auto" w:sz="4" w:space="0"/>
              <w:right w:val="single" w:color="auto" w:sz="4" w:space="0"/>
            </w:tcBorders>
          </w:tcPr>
          <w:p w14:paraId="0117C245">
            <w:pPr>
              <w:rPr>
                <w:rFonts w:hint="eastAsia" w:ascii="宋体" w:hAnsi="宋体" w:eastAsia="宋体" w:cs="宋体"/>
              </w:rPr>
            </w:pPr>
            <w:r>
              <w:rPr>
                <w:rFonts w:hint="eastAsia" w:ascii="宋体" w:hAnsi="宋体" w:eastAsia="宋体" w:cs="宋体"/>
              </w:rPr>
              <w:t>8分</w:t>
            </w:r>
          </w:p>
        </w:tc>
      </w:tr>
      <w:tr w14:paraId="6BF4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56609EC3">
            <w:pPr>
              <w:rPr>
                <w:rFonts w:hint="eastAsia" w:ascii="宋体" w:hAnsi="宋体" w:eastAsia="宋体" w:cs="宋体"/>
              </w:rPr>
            </w:pPr>
            <w:r>
              <w:rPr>
                <w:rFonts w:hint="eastAsia" w:ascii="宋体" w:hAnsi="宋体" w:eastAsia="宋体" w:cs="宋体"/>
              </w:rPr>
              <w:t>4</w:t>
            </w:r>
          </w:p>
        </w:tc>
        <w:tc>
          <w:tcPr>
            <w:tcBorders>
              <w:top w:val="single" w:color="auto" w:sz="4" w:space="0"/>
              <w:left w:val="single" w:color="auto" w:sz="4" w:space="0"/>
              <w:bottom w:val="single" w:color="auto" w:sz="4" w:space="0"/>
              <w:right w:val="single" w:color="auto" w:sz="4" w:space="0"/>
            </w:tcBorders>
          </w:tcPr>
          <w:p w14:paraId="740FCDA5">
            <w:pPr>
              <w:rPr>
                <w:rFonts w:hint="eastAsia" w:ascii="宋体" w:hAnsi="宋体" w:eastAsia="宋体" w:cs="宋体"/>
              </w:rPr>
            </w:pPr>
            <w:r>
              <w:rPr>
                <w:rFonts w:hint="eastAsia" w:ascii="宋体" w:hAnsi="宋体" w:eastAsia="宋体" w:cs="宋体"/>
              </w:rPr>
              <w:t>安全管理体系</w:t>
            </w:r>
          </w:p>
        </w:tc>
        <w:tc>
          <w:tcPr>
            <w:tcBorders>
              <w:top w:val="single" w:color="auto" w:sz="4" w:space="0"/>
              <w:left w:val="single" w:color="auto" w:sz="4" w:space="0"/>
              <w:bottom w:val="single" w:color="auto" w:sz="4" w:space="0"/>
              <w:right w:val="single" w:color="auto" w:sz="4" w:space="0"/>
            </w:tcBorders>
          </w:tcPr>
          <w:p w14:paraId="620EB4FB">
            <w:pPr>
              <w:rPr>
                <w:rFonts w:hint="eastAsia" w:ascii="宋体" w:hAnsi="宋体" w:eastAsia="宋体" w:cs="宋体"/>
              </w:rPr>
            </w:pPr>
            <w:r>
              <w:rPr>
                <w:rFonts w:hint="eastAsia" w:ascii="宋体" w:hAnsi="宋体" w:eastAsia="宋体" w:cs="宋体"/>
              </w:rPr>
              <w:t>安全管理制度完善、应急预案全面的，得5-7分；基本满足要求的，得1-4分。</w:t>
            </w:r>
          </w:p>
        </w:tc>
        <w:tc>
          <w:tcPr>
            <w:tcBorders>
              <w:top w:val="single" w:color="auto" w:sz="4" w:space="0"/>
              <w:left w:val="single" w:color="auto" w:sz="4" w:space="0"/>
              <w:bottom w:val="single" w:color="auto" w:sz="4" w:space="0"/>
              <w:right w:val="single" w:color="auto" w:sz="4" w:space="0"/>
            </w:tcBorders>
          </w:tcPr>
          <w:p w14:paraId="54A1599A">
            <w:pPr>
              <w:rPr>
                <w:rFonts w:hint="eastAsia" w:ascii="宋体" w:hAnsi="宋体" w:eastAsia="宋体" w:cs="宋体"/>
              </w:rPr>
            </w:pPr>
            <w:r>
              <w:rPr>
                <w:rFonts w:hint="eastAsia" w:ascii="宋体" w:hAnsi="宋体" w:eastAsia="宋体" w:cs="宋体"/>
              </w:rPr>
              <w:t>7分</w:t>
            </w:r>
          </w:p>
        </w:tc>
      </w:tr>
      <w:tr w14:paraId="6D0A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0D5559DF">
            <w:pPr>
              <w:rPr>
                <w:rFonts w:hint="eastAsia" w:ascii="宋体" w:hAnsi="宋体" w:eastAsia="宋体" w:cs="宋体"/>
              </w:rPr>
            </w:pPr>
            <w:r>
              <w:rPr>
                <w:rFonts w:hint="eastAsia" w:ascii="宋体" w:hAnsi="宋体" w:eastAsia="宋体" w:cs="宋体"/>
              </w:rPr>
              <w:t>5</w:t>
            </w:r>
          </w:p>
        </w:tc>
        <w:tc>
          <w:tcPr>
            <w:tcBorders>
              <w:top w:val="single" w:color="auto" w:sz="4" w:space="0"/>
              <w:left w:val="single" w:color="auto" w:sz="4" w:space="0"/>
              <w:bottom w:val="single" w:color="auto" w:sz="4" w:space="0"/>
              <w:right w:val="single" w:color="auto" w:sz="4" w:space="0"/>
            </w:tcBorders>
          </w:tcPr>
          <w:p w14:paraId="30A7AFFD">
            <w:pPr>
              <w:rPr>
                <w:rFonts w:hint="eastAsia" w:ascii="宋体" w:hAnsi="宋体" w:eastAsia="宋体" w:cs="宋体"/>
              </w:rPr>
            </w:pPr>
            <w:r>
              <w:rPr>
                <w:rFonts w:hint="eastAsia" w:ascii="宋体" w:hAnsi="宋体" w:eastAsia="宋体" w:cs="宋体"/>
              </w:rPr>
              <w:t>服务承诺</w:t>
            </w:r>
          </w:p>
        </w:tc>
        <w:tc>
          <w:tcPr>
            <w:tcBorders>
              <w:top w:val="single" w:color="auto" w:sz="4" w:space="0"/>
              <w:left w:val="single" w:color="auto" w:sz="4" w:space="0"/>
              <w:bottom w:val="single" w:color="auto" w:sz="4" w:space="0"/>
              <w:right w:val="single" w:color="auto" w:sz="4" w:space="0"/>
            </w:tcBorders>
          </w:tcPr>
          <w:p w14:paraId="63008405">
            <w:pPr>
              <w:rPr>
                <w:rFonts w:hint="eastAsia" w:ascii="宋体" w:hAnsi="宋体" w:eastAsia="宋体" w:cs="宋体"/>
              </w:rPr>
            </w:pPr>
            <w:r>
              <w:rPr>
                <w:rFonts w:hint="eastAsia" w:ascii="宋体" w:hAnsi="宋体" w:eastAsia="宋体" w:cs="宋体"/>
              </w:rPr>
              <w:t>可用率承诺达到98%及以上的，得3分；客服服务方案完善的，得3分；提供额外增值服务承诺的，得2分。</w:t>
            </w:r>
          </w:p>
        </w:tc>
        <w:tc>
          <w:tcPr>
            <w:tcBorders>
              <w:top w:val="single" w:color="auto" w:sz="4" w:space="0"/>
              <w:left w:val="single" w:color="auto" w:sz="4" w:space="0"/>
              <w:bottom w:val="single" w:color="auto" w:sz="4" w:space="0"/>
              <w:right w:val="single" w:color="auto" w:sz="4" w:space="0"/>
            </w:tcBorders>
          </w:tcPr>
          <w:p w14:paraId="74C32032">
            <w:pPr>
              <w:rPr>
                <w:rFonts w:hint="eastAsia" w:ascii="宋体" w:hAnsi="宋体" w:eastAsia="宋体" w:cs="宋体"/>
              </w:rPr>
            </w:pPr>
            <w:r>
              <w:rPr>
                <w:rFonts w:hint="eastAsia" w:ascii="宋体" w:hAnsi="宋体" w:eastAsia="宋体" w:cs="宋体"/>
              </w:rPr>
              <w:t>8分</w:t>
            </w:r>
          </w:p>
        </w:tc>
      </w:tr>
      <w:tr w14:paraId="7F10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0AE78132">
            <w:pPr>
              <w:rPr>
                <w:rFonts w:hint="eastAsia" w:ascii="宋体" w:hAnsi="宋体" w:eastAsia="宋体" w:cs="宋体"/>
              </w:rPr>
            </w:pPr>
            <w:r>
              <w:rPr>
                <w:rFonts w:hint="eastAsia" w:ascii="宋体" w:hAnsi="宋体" w:eastAsia="宋体" w:cs="宋体"/>
              </w:rPr>
              <w:t>6</w:t>
            </w:r>
          </w:p>
        </w:tc>
        <w:tc>
          <w:tcPr>
            <w:tcBorders>
              <w:top w:val="single" w:color="auto" w:sz="4" w:space="0"/>
              <w:left w:val="single" w:color="auto" w:sz="4" w:space="0"/>
              <w:bottom w:val="single" w:color="auto" w:sz="4" w:space="0"/>
              <w:right w:val="single" w:color="auto" w:sz="4" w:space="0"/>
            </w:tcBorders>
          </w:tcPr>
          <w:p w14:paraId="6F7B24A8">
            <w:pPr>
              <w:rPr>
                <w:rFonts w:hint="eastAsia" w:ascii="宋体" w:hAnsi="宋体" w:eastAsia="宋体" w:cs="宋体"/>
              </w:rPr>
            </w:pPr>
            <w:r>
              <w:rPr>
                <w:rFonts w:hint="eastAsia" w:ascii="宋体" w:hAnsi="宋体" w:eastAsia="宋体" w:cs="宋体"/>
              </w:rPr>
              <w:t>技术创新与优化</w:t>
            </w:r>
          </w:p>
        </w:tc>
        <w:tc>
          <w:tcPr>
            <w:tcBorders>
              <w:top w:val="single" w:color="auto" w:sz="4" w:space="0"/>
              <w:left w:val="single" w:color="auto" w:sz="4" w:space="0"/>
              <w:bottom w:val="single" w:color="auto" w:sz="4" w:space="0"/>
              <w:right w:val="single" w:color="auto" w:sz="4" w:space="0"/>
            </w:tcBorders>
          </w:tcPr>
          <w:p w14:paraId="2EADE609">
            <w:pPr>
              <w:rPr>
                <w:rFonts w:hint="eastAsia" w:ascii="宋体" w:hAnsi="宋体" w:eastAsia="宋体" w:cs="宋体"/>
              </w:rPr>
            </w:pPr>
            <w:r>
              <w:rPr>
                <w:rFonts w:hint="eastAsia" w:ascii="宋体" w:hAnsi="宋体" w:eastAsia="宋体" w:cs="宋体"/>
              </w:rPr>
              <w:t>提出具有创新性的运营管理优化措施、智能化管理手段的，得3-5分。</w:t>
            </w:r>
          </w:p>
        </w:tc>
        <w:tc>
          <w:tcPr>
            <w:tcBorders>
              <w:top w:val="single" w:color="auto" w:sz="4" w:space="0"/>
              <w:left w:val="single" w:color="auto" w:sz="4" w:space="0"/>
              <w:bottom w:val="single" w:color="auto" w:sz="4" w:space="0"/>
              <w:right w:val="single" w:color="auto" w:sz="4" w:space="0"/>
            </w:tcBorders>
          </w:tcPr>
          <w:p w14:paraId="252A920E">
            <w:pPr>
              <w:rPr>
                <w:rFonts w:hint="eastAsia" w:ascii="宋体" w:hAnsi="宋体" w:eastAsia="宋体" w:cs="宋体"/>
              </w:rPr>
            </w:pPr>
            <w:r>
              <w:rPr>
                <w:rFonts w:hint="eastAsia" w:ascii="宋体" w:hAnsi="宋体" w:eastAsia="宋体" w:cs="宋体"/>
              </w:rPr>
              <w:t>5分</w:t>
            </w:r>
          </w:p>
        </w:tc>
      </w:tr>
    </w:tbl>
    <w:p w14:paraId="316E39B7">
      <w:pPr>
        <w:rPr>
          <w:rFonts w:hint="eastAsia" w:ascii="宋体" w:hAnsi="宋体" w:eastAsia="宋体" w:cs="宋体"/>
        </w:rPr>
      </w:pPr>
    </w:p>
    <w:p w14:paraId="336492AE">
      <w:pPr>
        <w:rPr>
          <w:rFonts w:hint="eastAsia" w:ascii="宋体" w:hAnsi="宋体" w:eastAsia="宋体" w:cs="宋体"/>
        </w:rPr>
      </w:pPr>
    </w:p>
    <w:p w14:paraId="45D3E047">
      <w:pPr>
        <w:rPr>
          <w:rFonts w:hint="eastAsia" w:ascii="宋体" w:hAnsi="宋体" w:eastAsia="宋体" w:cs="宋体"/>
        </w:rPr>
      </w:pPr>
      <w:r>
        <w:rPr>
          <w:rFonts w:hint="eastAsia" w:ascii="宋体" w:hAnsi="宋体" w:eastAsia="宋体" w:cs="宋体"/>
          <w:b/>
        </w:rPr>
        <w:t>（四）价格部分评分标准（20分）</w:t>
      </w:r>
    </w:p>
    <w:p w14:paraId="51F919DB">
      <w:pPr>
        <w:rPr>
          <w:rFonts w:hint="eastAsia" w:ascii="宋体" w:hAnsi="宋体" w:eastAsia="宋体" w:cs="宋体"/>
        </w:rPr>
      </w:pPr>
      <w:r>
        <w:rPr>
          <w:rFonts w:hint="eastAsia" w:ascii="宋体" w:hAnsi="宋体" w:eastAsia="宋体" w:cs="宋体"/>
        </w:rPr>
        <w:t>价格分计算公式：</w:t>
      </w:r>
    </w:p>
    <w:p w14:paraId="47E65085">
      <w:pPr>
        <w:rPr>
          <w:rFonts w:hint="eastAsia" w:ascii="宋体" w:hAnsi="宋体" w:eastAsia="宋体" w:cs="宋体"/>
        </w:rPr>
      </w:pPr>
      <w:r>
        <w:rPr>
          <w:rFonts w:hint="eastAsia" w:ascii="宋体" w:hAnsi="宋体" w:eastAsia="宋体" w:cs="宋体"/>
        </w:rPr>
        <w:t>价格分 =（评标基准价/投标报价）×20</w:t>
      </w:r>
    </w:p>
    <w:p w14:paraId="037127FF">
      <w:pPr>
        <w:rPr>
          <w:rFonts w:hint="eastAsia" w:ascii="宋体" w:hAnsi="宋体" w:eastAsia="宋体" w:cs="宋体"/>
        </w:rPr>
      </w:pPr>
      <w:r>
        <w:rPr>
          <w:rFonts w:hint="eastAsia" w:ascii="宋体" w:hAnsi="宋体" w:eastAsia="宋体" w:cs="宋体"/>
        </w:rPr>
        <w:t>其中：</w:t>
      </w:r>
    </w:p>
    <w:p w14:paraId="2FCFA1B0">
      <w:pPr>
        <w:rPr>
          <w:rFonts w:hint="eastAsia" w:ascii="宋体" w:hAnsi="宋体" w:eastAsia="宋体" w:cs="宋体"/>
        </w:rPr>
      </w:pPr>
      <w:r>
        <w:rPr>
          <w:rFonts w:hint="eastAsia" w:ascii="宋体" w:hAnsi="宋体" w:eastAsia="宋体" w:cs="宋体"/>
        </w:rPr>
        <w:t>评标基准价=有效投标人报价的算术平均值</w:t>
      </w:r>
    </w:p>
    <w:p w14:paraId="1C173CB4">
      <w:pPr>
        <w:rPr>
          <w:rFonts w:hint="eastAsia" w:ascii="宋体" w:hAnsi="宋体" w:eastAsia="宋体" w:cs="宋体"/>
          <w:lang w:val="en-US" w:eastAsia="zh-CN"/>
        </w:rPr>
      </w:pPr>
      <w:r>
        <w:rPr>
          <w:rFonts w:hint="eastAsia" w:ascii="宋体" w:hAnsi="宋体" w:eastAsia="宋体" w:cs="宋体"/>
        </w:rPr>
        <w:t>投标限价：服务费收入的12%</w:t>
      </w:r>
      <w:r>
        <w:rPr>
          <w:rFonts w:hint="eastAsia" w:ascii="宋体" w:hAnsi="宋体" w:eastAsia="宋体" w:cs="宋体"/>
          <w:lang w:val="en-US" w:eastAsia="zh-CN"/>
        </w:rPr>
        <w:t>以内</w:t>
      </w:r>
    </w:p>
    <w:p w14:paraId="6A0738F8">
      <w:pPr>
        <w:rPr>
          <w:rFonts w:hint="eastAsia" w:ascii="宋体" w:hAnsi="宋体" w:eastAsia="宋体" w:cs="宋体"/>
          <w:lang w:val="en-US" w:eastAsia="zh-CN"/>
        </w:rPr>
      </w:pPr>
    </w:p>
    <w:p w14:paraId="6E415DFE">
      <w:pPr>
        <w:rPr>
          <w:rFonts w:hint="eastAsia" w:ascii="宋体" w:hAnsi="宋体" w:eastAsia="宋体" w:cs="宋体"/>
        </w:rPr>
      </w:pPr>
      <w:r>
        <w:rPr>
          <w:rFonts w:hint="eastAsia" w:ascii="宋体" w:hAnsi="宋体" w:eastAsia="宋体" w:cs="宋体"/>
        </w:rPr>
        <w:t>注：</w:t>
      </w:r>
    </w:p>
    <w:p w14:paraId="20F74DEE">
      <w:pPr>
        <w:rPr>
          <w:rFonts w:hint="eastAsia" w:ascii="宋体" w:hAnsi="宋体" w:eastAsia="宋体" w:cs="宋体"/>
        </w:rPr>
      </w:pPr>
      <w:r>
        <w:rPr>
          <w:rFonts w:hint="eastAsia" w:ascii="宋体" w:hAnsi="宋体" w:eastAsia="宋体" w:cs="宋体"/>
        </w:rPr>
        <w:t>1. 超出投标限价的报价为无效报价；</w:t>
      </w:r>
    </w:p>
    <w:p w14:paraId="7D6D9DF0">
      <w:pPr>
        <w:rPr>
          <w:rFonts w:hint="eastAsia" w:ascii="宋体" w:hAnsi="宋体" w:eastAsia="宋体" w:cs="宋体"/>
        </w:rPr>
      </w:pPr>
      <w:r>
        <w:rPr>
          <w:rFonts w:hint="eastAsia" w:ascii="宋体" w:hAnsi="宋体" w:eastAsia="宋体" w:cs="宋体"/>
        </w:rPr>
        <w:t>2. 评标委员会认为投标人的报价明显低于其他通过符合性审查投标人的报价，有可能影响服务质量或者不能诚信履约的，投标人应提供书面说明及相关证明材料；</w:t>
      </w:r>
    </w:p>
    <w:p w14:paraId="0B672A66">
      <w:pPr>
        <w:rPr>
          <w:rFonts w:hint="eastAsia" w:ascii="宋体" w:hAnsi="宋体" w:eastAsia="宋体" w:cs="宋体"/>
        </w:rPr>
      </w:pPr>
      <w:r>
        <w:rPr>
          <w:rFonts w:hint="eastAsia" w:ascii="宋体" w:hAnsi="宋体" w:eastAsia="宋体" w:cs="宋体"/>
        </w:rPr>
        <w:t>3. 投标人不能证明其报价合理性的，评标委员会应当将其作为无效投标处理。</w:t>
      </w:r>
    </w:p>
    <w:p w14:paraId="6B936092">
      <w:pPr>
        <w:rPr>
          <w:rFonts w:hint="eastAsia" w:ascii="宋体" w:hAnsi="宋体" w:eastAsia="宋体" w:cs="宋体"/>
        </w:rPr>
      </w:pPr>
    </w:p>
    <w:p w14:paraId="17898218">
      <w:pPr>
        <w:rPr>
          <w:rFonts w:hint="eastAsia" w:ascii="宋体" w:hAnsi="宋体" w:eastAsia="宋体" w:cs="宋体"/>
        </w:rPr>
      </w:pPr>
      <w:r>
        <w:rPr>
          <w:rFonts w:hint="eastAsia" w:ascii="宋体" w:hAnsi="宋体" w:eastAsia="宋体" w:cs="宋体"/>
          <w:b/>
        </w:rPr>
        <w:t>（五）评分汇总</w:t>
      </w:r>
    </w:p>
    <w:p w14:paraId="63B81A54">
      <w:pPr>
        <w:rPr>
          <w:rFonts w:hint="eastAsia" w:ascii="宋体" w:hAnsi="宋体" w:eastAsia="宋体" w:cs="宋体"/>
        </w:rPr>
      </w:pPr>
      <w:r>
        <w:rPr>
          <w:rFonts w:hint="eastAsia" w:ascii="宋体" w:hAnsi="宋体" w:eastAsia="宋体" w:cs="宋体"/>
        </w:rPr>
        <w:t>评标委员会根据上述评分标准对各投标文件进行评分，汇总后按得分由高到低顺序排列。得分相同的，按投标报价由低到高顺序排列；得分且投标报价相同的，按技术部分得分由高到低顺序排列。</w:t>
      </w:r>
    </w:p>
    <w:p w14:paraId="09A34646">
      <w:pPr>
        <w:rPr>
          <w:rFonts w:hint="eastAsia" w:ascii="宋体" w:hAnsi="宋体" w:eastAsia="宋体" w:cs="宋体"/>
        </w:rPr>
      </w:pPr>
    </w:p>
    <w:p w14:paraId="5D7CCAC9">
      <w:pPr>
        <w:rPr>
          <w:rFonts w:hint="eastAsia" w:ascii="宋体" w:hAnsi="宋体" w:eastAsia="宋体" w:cs="宋体"/>
        </w:rPr>
      </w:pPr>
      <w:r>
        <w:rPr>
          <w:rFonts w:hint="eastAsia" w:ascii="宋体" w:hAnsi="宋体" w:eastAsia="宋体" w:cs="宋体"/>
          <w:b/>
        </w:rPr>
        <w:t>（六）中标候选人推荐</w:t>
      </w:r>
    </w:p>
    <w:p w14:paraId="78483037">
      <w:pPr>
        <w:rPr>
          <w:rFonts w:hint="eastAsia" w:ascii="宋体" w:hAnsi="宋体" w:eastAsia="宋体" w:cs="宋体"/>
        </w:rPr>
      </w:pPr>
      <w:r>
        <w:rPr>
          <w:rFonts w:hint="eastAsia" w:ascii="宋体" w:hAnsi="宋体" w:eastAsia="宋体" w:cs="宋体"/>
        </w:rPr>
        <w:t>评标委员会按照得分排名顺序推荐中标候选人。排名第一的中标候选人为中标人。</w:t>
      </w:r>
    </w:p>
    <w:p w14:paraId="2F5828B8"/>
    <w:sectPr>
      <w:footerReference r:id="rId5" w:type="default"/>
      <w:pgSz w:w="11906" w:h="16838"/>
      <w:pgMar w:top="2098" w:right="1531" w:bottom="1531" w:left="153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2EE97E-2686-4686-B7A8-7548334998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437DB536-8387-44F5-89F6-5D2BBD0542DC}"/>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小标宋">
    <w:altName w:val="微软雅黑"/>
    <w:panose1 w:val="03000509000000000000"/>
    <w:charset w:val="86"/>
    <w:family w:val="auto"/>
    <w:pitch w:val="default"/>
    <w:sig w:usb0="00000000" w:usb1="00000000" w:usb2="00000000" w:usb3="00000000" w:csb0="00040000" w:csb1="00000000"/>
    <w:embedRegular r:id="rId3" w:fontKey="{AFE183A4-B0A5-485A-B117-3118BE5AA52A}"/>
  </w:font>
  <w:font w:name="仿宋">
    <w:panose1 w:val="02010609060101010101"/>
    <w:charset w:val="86"/>
    <w:family w:val="auto"/>
    <w:pitch w:val="default"/>
    <w:sig w:usb0="800002BF" w:usb1="38CF7CFA" w:usb2="00000016" w:usb3="00000000" w:csb0="00040001" w:csb1="00000000"/>
    <w:embedRegular r:id="rId4" w:fontKey="{F9FEE723-5183-44AE-8D65-04DBC320EDC2}"/>
  </w:font>
  <w:font w:name="仿宋_GB2312">
    <w:panose1 w:val="02010609030101010101"/>
    <w:charset w:val="86"/>
    <w:family w:val="auto"/>
    <w:pitch w:val="default"/>
    <w:sig w:usb0="00000001" w:usb1="080E0000" w:usb2="00000000" w:usb3="00000000" w:csb0="00040000" w:csb1="00000000"/>
    <w:embedRegular r:id="rId5" w:fontKey="{773B635A-D7F0-435D-B7B2-A5E31CA71968}"/>
  </w:font>
  <w:font w:name="方正仿宋_GB2312">
    <w:panose1 w:val="02000000000000000000"/>
    <w:charset w:val="86"/>
    <w:family w:val="auto"/>
    <w:pitch w:val="default"/>
    <w:sig w:usb0="A00002BF" w:usb1="184F6CFA" w:usb2="00000012" w:usb3="00000000" w:csb0="00040001" w:csb1="00000000"/>
    <w:embedRegular r:id="rId6" w:fontKey="{51ACB179-304C-43BA-A171-E260EAE2BF5B}"/>
  </w:font>
  <w:font w:name="ＭＳ 明朝">
    <w:altName w:val="Segoe Print"/>
    <w:panose1 w:val="00000000000000000000"/>
    <w:charset w:val="00"/>
    <w:family w:val="auto"/>
    <w:pitch w:val="default"/>
    <w:sig w:usb0="00000000" w:usb1="00000000" w:usb2="00000000" w:usb3="00000000" w:csb0="00000000" w:csb1="00000000"/>
    <w:embedRegular r:id="rId7" w:fontKey="{46D22003-6D93-4174-857A-F38870452DD1}"/>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5E723">
    <w:pPr>
      <w:pStyle w:val="25"/>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A5B43">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BA5B43">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449649C"/>
    <w:rsid w:val="04E377CC"/>
    <w:rsid w:val="078B5EF9"/>
    <w:rsid w:val="08634780"/>
    <w:rsid w:val="090146C5"/>
    <w:rsid w:val="092D3FC5"/>
    <w:rsid w:val="09D724F3"/>
    <w:rsid w:val="0DF742E8"/>
    <w:rsid w:val="0E7852DD"/>
    <w:rsid w:val="0E9567DA"/>
    <w:rsid w:val="0FC91CB4"/>
    <w:rsid w:val="0FD84E0B"/>
    <w:rsid w:val="112315AA"/>
    <w:rsid w:val="11625F1D"/>
    <w:rsid w:val="12437AFC"/>
    <w:rsid w:val="14F50E56"/>
    <w:rsid w:val="17824C23"/>
    <w:rsid w:val="1BD712B5"/>
    <w:rsid w:val="1C625023"/>
    <w:rsid w:val="1DE008F5"/>
    <w:rsid w:val="1EE461C3"/>
    <w:rsid w:val="20E0572E"/>
    <w:rsid w:val="21A65834"/>
    <w:rsid w:val="233E50EA"/>
    <w:rsid w:val="239F25E4"/>
    <w:rsid w:val="242418B7"/>
    <w:rsid w:val="257858B7"/>
    <w:rsid w:val="26BE2AF9"/>
    <w:rsid w:val="299E6516"/>
    <w:rsid w:val="2AC670C5"/>
    <w:rsid w:val="2B8C6B9E"/>
    <w:rsid w:val="2C3331A4"/>
    <w:rsid w:val="2C723060"/>
    <w:rsid w:val="2CA611CD"/>
    <w:rsid w:val="30182170"/>
    <w:rsid w:val="31480788"/>
    <w:rsid w:val="32BA41A3"/>
    <w:rsid w:val="32FD240A"/>
    <w:rsid w:val="34F605A6"/>
    <w:rsid w:val="3BC52E61"/>
    <w:rsid w:val="3C5F5136"/>
    <w:rsid w:val="3CA134EE"/>
    <w:rsid w:val="3DEB4A20"/>
    <w:rsid w:val="3E9A6446"/>
    <w:rsid w:val="3F785466"/>
    <w:rsid w:val="3FBC560C"/>
    <w:rsid w:val="41DA44DB"/>
    <w:rsid w:val="41DD5280"/>
    <w:rsid w:val="429C336E"/>
    <w:rsid w:val="472674C8"/>
    <w:rsid w:val="472E709C"/>
    <w:rsid w:val="48E203F8"/>
    <w:rsid w:val="4A083F0F"/>
    <w:rsid w:val="50BF0009"/>
    <w:rsid w:val="526774F4"/>
    <w:rsid w:val="555D3FFE"/>
    <w:rsid w:val="5ACD5782"/>
    <w:rsid w:val="5ADF3707"/>
    <w:rsid w:val="606A6641"/>
    <w:rsid w:val="608C1081"/>
    <w:rsid w:val="63A74C22"/>
    <w:rsid w:val="64287ECD"/>
    <w:rsid w:val="65C5517F"/>
    <w:rsid w:val="6765508A"/>
    <w:rsid w:val="678F5EF4"/>
    <w:rsid w:val="67E5540A"/>
    <w:rsid w:val="67E73BFB"/>
    <w:rsid w:val="68602660"/>
    <w:rsid w:val="686B0663"/>
    <w:rsid w:val="6D687F77"/>
    <w:rsid w:val="6DFB4EC3"/>
    <w:rsid w:val="6F697D59"/>
    <w:rsid w:val="70695501"/>
    <w:rsid w:val="710F35FE"/>
    <w:rsid w:val="745F3497"/>
    <w:rsid w:val="79DF1182"/>
    <w:rsid w:val="7B5B2E6A"/>
    <w:rsid w:val="7BD302C6"/>
    <w:rsid w:val="7C63164A"/>
    <w:rsid w:val="7D432CCF"/>
    <w:rsid w:val="7EBA77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annotation text"/>
    <w:basedOn w:val="1"/>
    <w:semiHidden/>
    <w:unhideWhenUsed/>
    <w:qFormat/>
    <w:uiPriority w:val="99"/>
    <w:pPr>
      <w:jc w:val="left"/>
    </w:pPr>
  </w:style>
  <w:style w:type="paragraph" w:styleId="18">
    <w:name w:val="Body Text 3"/>
    <w:basedOn w:val="1"/>
    <w:link w:val="147"/>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45"/>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footer"/>
    <w:basedOn w:val="1"/>
    <w:link w:val="137"/>
    <w:unhideWhenUsed/>
    <w:qFormat/>
    <w:uiPriority w:val="99"/>
    <w:pPr>
      <w:tabs>
        <w:tab w:val="center" w:pos="4680"/>
        <w:tab w:val="right" w:pos="9360"/>
      </w:tabs>
      <w:spacing w:after="0" w:line="240" w:lineRule="auto"/>
    </w:pPr>
  </w:style>
  <w:style w:type="paragraph" w:styleId="26">
    <w:name w:val="header"/>
    <w:basedOn w:val="1"/>
    <w:link w:val="136"/>
    <w:unhideWhenUsed/>
    <w:qFormat/>
    <w:uiPriority w:val="99"/>
    <w:pPr>
      <w:tabs>
        <w:tab w:val="center" w:pos="4680"/>
        <w:tab w:val="right" w:pos="9360"/>
      </w:tabs>
      <w:spacing w:after="0" w:line="240" w:lineRule="auto"/>
    </w:pPr>
  </w:style>
  <w:style w:type="paragraph" w:styleId="27">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qFormat/>
    <w:uiPriority w:val="99"/>
    <w:pPr>
      <w:ind w:left="360" w:hanging="360"/>
      <w:contextualSpacing/>
    </w:pPr>
  </w:style>
  <w:style w:type="paragraph" w:styleId="29">
    <w:name w:val="Body Text 2"/>
    <w:basedOn w:val="1"/>
    <w:link w:val="146"/>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6"/>
    <w:qFormat/>
    <w:uiPriority w:val="99"/>
  </w:style>
  <w:style w:type="character" w:customStyle="1" w:styleId="137">
    <w:name w:val="Footer Char"/>
    <w:basedOn w:val="133"/>
    <w:link w:val="25"/>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20"/>
    <w:qFormat/>
    <w:uiPriority w:val="99"/>
  </w:style>
  <w:style w:type="character" w:customStyle="1" w:styleId="146">
    <w:name w:val="Body Text 2 Char"/>
    <w:basedOn w:val="133"/>
    <w:link w:val="29"/>
    <w:qFormat/>
    <w:uiPriority w:val="99"/>
  </w:style>
  <w:style w:type="character" w:customStyle="1" w:styleId="147">
    <w:name w:val="Body Text 3 Char"/>
    <w:basedOn w:val="133"/>
    <w:link w:val="18"/>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_Style 1"/>
    <w:qFormat/>
    <w:uiPriority w:val="99"/>
    <w:pPr>
      <w:spacing w:line="360" w:lineRule="auto"/>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3948</Words>
  <Characters>4110</Characters>
  <Lines>0</Lines>
  <Paragraphs>0</Paragraphs>
  <TotalTime>0</TotalTime>
  <ScaleCrop>false</ScaleCrop>
  <LinksUpToDate>false</LinksUpToDate>
  <CharactersWithSpaces>4164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吴志航</cp:lastModifiedBy>
  <cp:lastPrinted>2026-03-26T07:00:00Z</cp:lastPrinted>
  <dcterms:modified xsi:type="dcterms:W3CDTF">2026-03-27T07:46:42Z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eyJoZGlkIjoiMTE5YzFmZTM2ZDg5NDZkNTQ0MmJjZjFlNjZmMTEyYTQiLCJ1c2VySWQiOiIyMzA0NTc0MTAifQ==</vt:lpwstr>
  </property>
  <property fmtid="{D5CDD505-2E9C-101B-9397-08002B2CF9AE}" pid="3" name="KSOProductBuildVer">
    <vt:lpwstr>2052-12.1.0.24034</vt:lpwstr>
  </property>
  <property fmtid="{D5CDD505-2E9C-101B-9397-08002B2CF9AE}" pid="4" name="ICV">
    <vt:lpwstr>B08F77EEDFCF4AEDA1C6E8830D0C5FD1_13</vt:lpwstr>
  </property>
</Properties>
</file>