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015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大浪街道城市管家及福布路项目小设备定点</w:t>
      </w:r>
    </w:p>
    <w:p w14:paraId="04FA14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维修保养服务采购公开遴选</w:t>
      </w:r>
      <w:r>
        <w:rPr>
          <w:rFonts w:hint="eastAsia" w:ascii="方正小标宋简体" w:hAnsi="方正小标宋简体" w:eastAsia="方正小标宋简体" w:cs="方正小标宋简体"/>
          <w:sz w:val="44"/>
          <w:szCs w:val="44"/>
          <w:highlight w:val="none"/>
          <w:lang w:val="en-US" w:eastAsia="zh-CN"/>
        </w:rPr>
        <w:t>方案</w:t>
      </w:r>
    </w:p>
    <w:p w14:paraId="56E57010">
      <w:pPr>
        <w:spacing w:line="560" w:lineRule="exact"/>
        <w:ind w:firstLine="640" w:firstLineChars="200"/>
        <w:rPr>
          <w:rFonts w:hint="eastAsia" w:ascii="黑体" w:hAnsi="黑体" w:eastAsia="黑体" w:cs="黑体"/>
          <w:b w:val="0"/>
          <w:bCs/>
          <w:color w:val="auto"/>
          <w:sz w:val="32"/>
          <w:szCs w:val="32"/>
          <w:lang w:val="en-US" w:eastAsia="zh-CN"/>
        </w:rPr>
      </w:pPr>
    </w:p>
    <w:p w14:paraId="5B5A7BE1">
      <w:pPr>
        <w:spacing w:line="56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评标方法</w:t>
      </w:r>
    </w:p>
    <w:p w14:paraId="3F5A1CF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val="0"/>
          <w:color w:val="auto"/>
          <w:kern w:val="2"/>
          <w:sz w:val="32"/>
          <w:szCs w:val="32"/>
          <w:lang w:val="en-US" w:eastAsia="zh-CN"/>
        </w:rPr>
      </w:pPr>
      <w:r>
        <w:rPr>
          <w:rFonts w:hint="eastAsia" w:ascii="仿宋_GB2312" w:hAnsi="仿宋_GB2312" w:eastAsia="仿宋_GB2312" w:cs="仿宋_GB2312"/>
          <w:b w:val="0"/>
          <w:bCs/>
          <w:snapToGrid w:val="0"/>
          <w:color w:val="auto"/>
          <w:kern w:val="2"/>
          <w:sz w:val="32"/>
          <w:szCs w:val="32"/>
          <w:lang w:val="en-US" w:eastAsia="zh-CN"/>
        </w:rPr>
        <w:t>本次评标采用综合评分法。每一投标人的最终得分为所有评委给其评分的算术平均值。</w:t>
      </w:r>
    </w:p>
    <w:p w14:paraId="2A8DCC7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val="0"/>
          <w:color w:val="auto"/>
          <w:kern w:val="2"/>
          <w:sz w:val="32"/>
          <w:szCs w:val="32"/>
          <w:lang w:val="en-US" w:eastAsia="zh-CN"/>
        </w:rPr>
      </w:pPr>
      <w:r>
        <w:rPr>
          <w:rFonts w:hint="eastAsia" w:ascii="仿宋_GB2312" w:hAnsi="仿宋_GB2312" w:eastAsia="仿宋_GB2312" w:cs="仿宋_GB2312"/>
          <w:b w:val="0"/>
          <w:bCs/>
          <w:snapToGrid w:val="0"/>
          <w:color w:val="auto"/>
          <w:kern w:val="2"/>
          <w:sz w:val="32"/>
          <w:szCs w:val="32"/>
          <w:lang w:val="en-US" w:eastAsia="zh-CN"/>
        </w:rPr>
        <w:t>本项目评分标准为：</w:t>
      </w:r>
    </w:p>
    <w:tbl>
      <w:tblPr>
        <w:tblStyle w:val="13"/>
        <w:tblpPr w:leftFromText="180" w:rightFromText="180" w:vertAnchor="text" w:horzAnchor="page" w:tblpX="1557" w:tblpY="143"/>
        <w:tblOverlap w:val="never"/>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22"/>
      </w:tblGrid>
      <w:tr w14:paraId="30E6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485" w:type="dxa"/>
            <w:noWrap w:val="0"/>
            <w:vAlign w:val="center"/>
          </w:tcPr>
          <w:p w14:paraId="60F95F9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val="0"/>
                <w:snapToGrid w:val="0"/>
                <w:color w:val="auto"/>
                <w:kern w:val="2"/>
                <w:sz w:val="24"/>
                <w:szCs w:val="24"/>
                <w:lang w:val="en-US" w:eastAsia="zh-CN"/>
              </w:rPr>
            </w:pPr>
            <w:r>
              <w:rPr>
                <w:rFonts w:hint="eastAsia" w:ascii="仿宋" w:hAnsi="仿宋" w:eastAsia="仿宋" w:cs="仿宋"/>
                <w:b/>
                <w:bCs w:val="0"/>
                <w:snapToGrid w:val="0"/>
                <w:color w:val="auto"/>
                <w:kern w:val="2"/>
                <w:sz w:val="24"/>
                <w:szCs w:val="24"/>
                <w:lang w:val="en-US" w:eastAsia="zh-CN"/>
              </w:rPr>
              <w:t>评分因素</w:t>
            </w:r>
          </w:p>
        </w:tc>
        <w:tc>
          <w:tcPr>
            <w:tcW w:w="4522" w:type="dxa"/>
            <w:noWrap w:val="0"/>
            <w:vAlign w:val="center"/>
          </w:tcPr>
          <w:p w14:paraId="609BE03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val="0"/>
                <w:snapToGrid w:val="0"/>
                <w:color w:val="auto"/>
                <w:kern w:val="2"/>
                <w:sz w:val="24"/>
                <w:szCs w:val="24"/>
                <w:lang w:val="en-US" w:eastAsia="zh-CN"/>
              </w:rPr>
            </w:pPr>
            <w:r>
              <w:rPr>
                <w:rFonts w:hint="eastAsia" w:ascii="仿宋" w:hAnsi="仿宋" w:eastAsia="仿宋" w:cs="仿宋"/>
                <w:b/>
                <w:bCs w:val="0"/>
                <w:snapToGrid w:val="0"/>
                <w:color w:val="auto"/>
                <w:kern w:val="2"/>
                <w:sz w:val="24"/>
                <w:szCs w:val="24"/>
                <w:lang w:val="en-US" w:eastAsia="zh-CN"/>
              </w:rPr>
              <w:t>分值分配</w:t>
            </w:r>
          </w:p>
        </w:tc>
      </w:tr>
      <w:tr w14:paraId="6EEE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85" w:type="dxa"/>
            <w:noWrap w:val="0"/>
            <w:vAlign w:val="center"/>
          </w:tcPr>
          <w:p w14:paraId="4980FB6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snapToGrid w:val="0"/>
                <w:color w:val="auto"/>
                <w:kern w:val="2"/>
                <w:sz w:val="24"/>
                <w:szCs w:val="24"/>
                <w:lang w:val="en-US" w:eastAsia="zh-CN"/>
              </w:rPr>
            </w:pPr>
            <w:r>
              <w:rPr>
                <w:rFonts w:hint="eastAsia" w:ascii="仿宋" w:hAnsi="仿宋" w:eastAsia="仿宋" w:cs="仿宋"/>
                <w:b w:val="0"/>
                <w:bCs/>
                <w:snapToGrid w:val="0"/>
                <w:color w:val="auto"/>
                <w:kern w:val="2"/>
                <w:sz w:val="24"/>
                <w:szCs w:val="24"/>
                <w:lang w:val="en-US" w:eastAsia="zh-CN"/>
              </w:rPr>
              <w:t>商务部分</w:t>
            </w:r>
          </w:p>
        </w:tc>
        <w:tc>
          <w:tcPr>
            <w:tcW w:w="4522" w:type="dxa"/>
            <w:noWrap w:val="0"/>
            <w:vAlign w:val="center"/>
          </w:tcPr>
          <w:p w14:paraId="0601017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snapToGrid w:val="0"/>
                <w:color w:val="auto"/>
                <w:kern w:val="2"/>
                <w:sz w:val="24"/>
                <w:szCs w:val="24"/>
                <w:highlight w:val="none"/>
                <w:lang w:val="en-US" w:eastAsia="zh-CN"/>
              </w:rPr>
            </w:pPr>
            <w:r>
              <w:rPr>
                <w:rFonts w:hint="eastAsia" w:ascii="仿宋" w:hAnsi="仿宋" w:eastAsia="仿宋" w:cs="仿宋"/>
                <w:b w:val="0"/>
                <w:bCs/>
                <w:snapToGrid w:val="0"/>
                <w:color w:val="auto"/>
                <w:kern w:val="2"/>
                <w:sz w:val="24"/>
                <w:szCs w:val="24"/>
                <w:highlight w:val="none"/>
                <w:lang w:val="en-US" w:eastAsia="zh-CN"/>
              </w:rPr>
              <w:t>35分</w:t>
            </w:r>
          </w:p>
        </w:tc>
      </w:tr>
      <w:tr w14:paraId="1F54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85" w:type="dxa"/>
            <w:noWrap w:val="0"/>
            <w:vAlign w:val="center"/>
          </w:tcPr>
          <w:p w14:paraId="1104D5E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snapToGrid w:val="0"/>
                <w:color w:val="auto"/>
                <w:kern w:val="2"/>
                <w:sz w:val="24"/>
                <w:szCs w:val="24"/>
                <w:lang w:val="en-US" w:eastAsia="zh-CN"/>
              </w:rPr>
            </w:pPr>
            <w:r>
              <w:rPr>
                <w:rFonts w:hint="eastAsia" w:ascii="仿宋" w:hAnsi="仿宋" w:eastAsia="仿宋" w:cs="仿宋"/>
                <w:b w:val="0"/>
                <w:bCs/>
                <w:snapToGrid w:val="0"/>
                <w:color w:val="auto"/>
                <w:kern w:val="2"/>
                <w:sz w:val="24"/>
                <w:szCs w:val="24"/>
                <w:lang w:val="en-US" w:eastAsia="zh-CN"/>
              </w:rPr>
              <w:t>技术部分</w:t>
            </w:r>
          </w:p>
        </w:tc>
        <w:tc>
          <w:tcPr>
            <w:tcW w:w="4522" w:type="dxa"/>
            <w:noWrap w:val="0"/>
            <w:vAlign w:val="center"/>
          </w:tcPr>
          <w:p w14:paraId="55C758B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snapToGrid w:val="0"/>
                <w:color w:val="auto"/>
                <w:kern w:val="2"/>
                <w:sz w:val="24"/>
                <w:szCs w:val="24"/>
                <w:highlight w:val="none"/>
                <w:lang w:val="en-US" w:eastAsia="zh-CN"/>
              </w:rPr>
            </w:pPr>
            <w:r>
              <w:rPr>
                <w:rFonts w:hint="eastAsia" w:ascii="仿宋" w:hAnsi="仿宋" w:eastAsia="仿宋" w:cs="仿宋"/>
                <w:b w:val="0"/>
                <w:bCs/>
                <w:snapToGrid w:val="0"/>
                <w:color w:val="auto"/>
                <w:kern w:val="2"/>
                <w:sz w:val="24"/>
                <w:szCs w:val="24"/>
                <w:highlight w:val="none"/>
                <w:lang w:val="en-US" w:eastAsia="zh-CN"/>
              </w:rPr>
              <w:t>35分</w:t>
            </w:r>
          </w:p>
        </w:tc>
      </w:tr>
      <w:tr w14:paraId="636D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85" w:type="dxa"/>
            <w:noWrap w:val="0"/>
            <w:vAlign w:val="center"/>
          </w:tcPr>
          <w:p w14:paraId="3EF960C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snapToGrid w:val="0"/>
                <w:color w:val="auto"/>
                <w:kern w:val="2"/>
                <w:sz w:val="24"/>
                <w:szCs w:val="24"/>
                <w:lang w:val="en-US" w:eastAsia="zh-CN"/>
              </w:rPr>
            </w:pPr>
            <w:r>
              <w:rPr>
                <w:rFonts w:hint="eastAsia" w:ascii="仿宋" w:hAnsi="仿宋" w:eastAsia="仿宋" w:cs="仿宋"/>
                <w:b w:val="0"/>
                <w:bCs/>
                <w:snapToGrid w:val="0"/>
                <w:color w:val="auto"/>
                <w:kern w:val="2"/>
                <w:sz w:val="24"/>
                <w:szCs w:val="24"/>
                <w:lang w:val="en-US" w:eastAsia="zh-CN"/>
              </w:rPr>
              <w:t>投标报价</w:t>
            </w:r>
          </w:p>
        </w:tc>
        <w:tc>
          <w:tcPr>
            <w:tcW w:w="4522" w:type="dxa"/>
            <w:noWrap w:val="0"/>
            <w:vAlign w:val="center"/>
          </w:tcPr>
          <w:p w14:paraId="51E8613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snapToGrid w:val="0"/>
                <w:color w:val="auto"/>
                <w:kern w:val="2"/>
                <w:sz w:val="24"/>
                <w:szCs w:val="24"/>
                <w:highlight w:val="none"/>
                <w:lang w:val="en-US" w:eastAsia="zh-CN"/>
              </w:rPr>
            </w:pPr>
            <w:r>
              <w:rPr>
                <w:rFonts w:hint="eastAsia" w:ascii="仿宋" w:hAnsi="仿宋" w:eastAsia="仿宋" w:cs="仿宋"/>
                <w:b w:val="0"/>
                <w:bCs/>
                <w:snapToGrid w:val="0"/>
                <w:color w:val="auto"/>
                <w:kern w:val="2"/>
                <w:sz w:val="24"/>
                <w:szCs w:val="24"/>
                <w:highlight w:val="none"/>
                <w:lang w:val="en-US" w:eastAsia="zh-CN"/>
              </w:rPr>
              <w:t>30分</w:t>
            </w:r>
          </w:p>
        </w:tc>
      </w:tr>
      <w:tr w14:paraId="13A7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85" w:type="dxa"/>
            <w:noWrap w:val="0"/>
            <w:vAlign w:val="center"/>
          </w:tcPr>
          <w:p w14:paraId="403EB38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snapToGrid w:val="0"/>
                <w:color w:val="auto"/>
                <w:kern w:val="2"/>
                <w:sz w:val="24"/>
                <w:szCs w:val="24"/>
                <w:highlight w:val="none"/>
                <w:lang w:val="en-US" w:eastAsia="zh-CN"/>
              </w:rPr>
            </w:pPr>
            <w:r>
              <w:rPr>
                <w:rFonts w:hint="eastAsia" w:ascii="仿宋" w:hAnsi="仿宋" w:eastAsia="仿宋" w:cs="仿宋"/>
                <w:b w:val="0"/>
                <w:bCs/>
                <w:snapToGrid w:val="0"/>
                <w:color w:val="auto"/>
                <w:kern w:val="2"/>
                <w:sz w:val="24"/>
                <w:szCs w:val="24"/>
                <w:highlight w:val="none"/>
                <w:lang w:val="en-US" w:eastAsia="zh-CN"/>
              </w:rPr>
              <w:t>合计</w:t>
            </w:r>
          </w:p>
        </w:tc>
        <w:tc>
          <w:tcPr>
            <w:tcW w:w="4522" w:type="dxa"/>
            <w:noWrap w:val="0"/>
            <w:vAlign w:val="center"/>
          </w:tcPr>
          <w:p w14:paraId="02A6405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snapToGrid w:val="0"/>
                <w:color w:val="auto"/>
                <w:kern w:val="2"/>
                <w:sz w:val="24"/>
                <w:szCs w:val="24"/>
                <w:highlight w:val="none"/>
                <w:lang w:val="en-US" w:eastAsia="zh-CN"/>
              </w:rPr>
            </w:pPr>
            <w:r>
              <w:rPr>
                <w:rFonts w:hint="eastAsia" w:ascii="仿宋" w:hAnsi="仿宋" w:eastAsia="仿宋" w:cs="仿宋"/>
                <w:b w:val="0"/>
                <w:bCs/>
                <w:snapToGrid w:val="0"/>
                <w:color w:val="auto"/>
                <w:kern w:val="2"/>
                <w:sz w:val="24"/>
                <w:szCs w:val="24"/>
                <w:highlight w:val="none"/>
                <w:lang w:val="en-US" w:eastAsia="zh-CN"/>
              </w:rPr>
              <w:t>100分</w:t>
            </w:r>
          </w:p>
        </w:tc>
      </w:tr>
    </w:tbl>
    <w:p w14:paraId="1C16B24D">
      <w:pPr>
        <w:keepNext w:val="0"/>
        <w:keepLines w:val="0"/>
        <w:pageBreakBefore w:val="0"/>
        <w:kinsoku/>
        <w:wordWrap/>
        <w:overflowPunct/>
        <w:topLinePunct w:val="0"/>
        <w:autoSpaceDE/>
        <w:autoSpaceDN/>
        <w:bidi w:val="0"/>
        <w:adjustRightInd/>
        <w:snapToGrid/>
        <w:spacing w:line="560" w:lineRule="exact"/>
        <w:ind w:firstLine="0" w:firstLineChars="0"/>
        <w:jc w:val="left"/>
        <w:textAlignment w:val="auto"/>
        <w:rPr>
          <w:rFonts w:hint="default" w:ascii="仿宋_GB2312" w:hAnsi="仿宋_GB2312" w:eastAsia="仿宋_GB2312" w:cs="仿宋_GB2312"/>
          <w:b w:val="0"/>
          <w:bCs/>
          <w:snapToGrid w:val="0"/>
          <w:color w:val="auto"/>
          <w:kern w:val="2"/>
          <w:sz w:val="32"/>
          <w:szCs w:val="32"/>
          <w:lang w:val="en-US" w:eastAsia="zh-CN"/>
        </w:rPr>
      </w:pPr>
      <w:r>
        <w:rPr>
          <w:rFonts w:hint="eastAsia" w:ascii="仿宋_GB2312" w:hAnsi="仿宋_GB2312" w:eastAsia="仿宋_GB2312" w:cs="仿宋_GB2312"/>
          <w:b w:val="0"/>
          <w:bCs/>
          <w:snapToGrid w:val="0"/>
          <w:color w:val="auto"/>
          <w:kern w:val="2"/>
          <w:sz w:val="32"/>
          <w:szCs w:val="32"/>
          <w:lang w:val="en-US" w:eastAsia="zh-CN"/>
        </w:rPr>
        <w:t>投标人的报价方法：</w:t>
      </w:r>
    </w:p>
    <w:p w14:paraId="34A8AA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napToGrid w:val="0"/>
          <w:color w:val="auto"/>
          <w:kern w:val="2"/>
          <w:sz w:val="32"/>
          <w:szCs w:val="32"/>
          <w:lang w:val="en-US" w:eastAsia="zh-CN"/>
        </w:rPr>
      </w:pPr>
      <w:r>
        <w:rPr>
          <w:rFonts w:hint="eastAsia" w:ascii="仿宋_GB2312" w:hAnsi="仿宋_GB2312" w:eastAsia="仿宋_GB2312" w:cs="仿宋_GB2312"/>
          <w:b w:val="0"/>
          <w:bCs/>
          <w:snapToGrid w:val="0"/>
          <w:color w:val="auto"/>
          <w:kern w:val="2"/>
          <w:sz w:val="32"/>
          <w:szCs w:val="32"/>
          <w:lang w:val="en-US" w:eastAsia="zh-CN"/>
        </w:rPr>
        <w:t>投标人按折扣率进行报价，填报的“折扣率”须满足“0＜折扣率≤1”（最多保留小数点后两位），未按此要求填写将作投标无效处理；（比如投标人报9折，则投标报价一览表中的“</w:t>
      </w:r>
      <w:r>
        <w:rPr>
          <w:rFonts w:hint="eastAsia" w:ascii="仿宋_GB2312" w:hAnsi="仿宋_GB2312" w:eastAsia="仿宋_GB2312" w:cs="仿宋_GB2312"/>
          <w:b w:val="0"/>
          <w:bCs/>
          <w:snapToGrid w:val="0"/>
          <w:color w:val="auto"/>
          <w:kern w:val="2"/>
          <w:sz w:val="32"/>
          <w:szCs w:val="32"/>
          <w:highlight w:val="none"/>
          <w:lang w:val="en-US" w:eastAsia="zh-CN"/>
        </w:rPr>
        <w:t>投标折扣率”一栏</w:t>
      </w:r>
      <w:r>
        <w:rPr>
          <w:rFonts w:hint="eastAsia" w:ascii="仿宋_GB2312" w:hAnsi="仿宋_GB2312" w:eastAsia="仿宋_GB2312" w:cs="仿宋_GB2312"/>
          <w:b w:val="0"/>
          <w:bCs/>
          <w:snapToGrid w:val="0"/>
          <w:color w:val="auto"/>
          <w:kern w:val="2"/>
          <w:sz w:val="32"/>
          <w:szCs w:val="32"/>
          <w:lang w:val="en-US" w:eastAsia="zh-CN"/>
        </w:rPr>
        <w:t>填写0.9）。</w:t>
      </w:r>
    </w:p>
    <w:p w14:paraId="786C38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napToGrid w:val="0"/>
          <w:color w:val="auto"/>
          <w:kern w:val="2"/>
          <w:sz w:val="32"/>
          <w:szCs w:val="32"/>
          <w:lang w:val="en-US" w:eastAsia="zh-CN"/>
        </w:rPr>
      </w:pPr>
      <w:r>
        <w:rPr>
          <w:rFonts w:hint="eastAsia" w:ascii="仿宋_GB2312" w:hAnsi="仿宋_GB2312" w:eastAsia="仿宋_GB2312" w:cs="仿宋_GB2312"/>
          <w:b w:val="0"/>
          <w:bCs/>
          <w:snapToGrid w:val="0"/>
          <w:color w:val="auto"/>
          <w:kern w:val="2"/>
          <w:sz w:val="32"/>
          <w:szCs w:val="32"/>
          <w:lang w:val="en-US" w:eastAsia="zh-CN"/>
        </w:rPr>
        <w:t>报价分统一采用低价优先法计算，即满足招标文件要求且折扣率最低者其报价分为满分（即基准折扣率）。其他投标人的报价分按照下列公式计算：</w:t>
      </w:r>
    </w:p>
    <w:p w14:paraId="065C56BC">
      <w:pPr>
        <w:pStyle w:val="2"/>
        <w:spacing w:line="56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报价得分=基准折扣率/投标折扣率×</w:t>
      </w:r>
      <w:r>
        <w:rPr>
          <w:rFonts w:hint="eastAsia" w:ascii="仿宋_GB2312" w:hAnsi="仿宋_GB2312" w:eastAsia="仿宋_GB2312" w:cs="仿宋_GB2312"/>
          <w:sz w:val="32"/>
          <w:szCs w:val="32"/>
          <w:highlight w:val="none"/>
          <w:lang w:val="en-US" w:eastAsia="zh-CN"/>
        </w:rPr>
        <w:t>30×100%.</w:t>
      </w:r>
    </w:p>
    <w:p w14:paraId="724BB0EF">
      <w:pPr>
        <w:pStyle w:val="16"/>
        <w:rPr>
          <w:rFonts w:hint="eastAsia"/>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7AA9203A">
      <w:pPr>
        <w:spacing w:line="560" w:lineRule="exact"/>
        <w:ind w:leftChars="0"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评分因素</w:t>
      </w:r>
    </w:p>
    <w:tbl>
      <w:tblPr>
        <w:tblStyle w:val="13"/>
        <w:tblW w:w="530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8"/>
        <w:gridCol w:w="837"/>
        <w:gridCol w:w="6871"/>
      </w:tblGrid>
      <w:tr w14:paraId="73C7C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908" w:type="dxa"/>
            <w:gridSpan w:val="2"/>
            <w:noWrap w:val="0"/>
            <w:vAlign w:val="center"/>
          </w:tcPr>
          <w:p w14:paraId="08F44055">
            <w:pPr>
              <w:adjustRightInd w:val="0"/>
              <w:snapToGrid w:val="0"/>
              <w:spacing w:line="32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评分内容</w:t>
            </w:r>
          </w:p>
        </w:tc>
        <w:tc>
          <w:tcPr>
            <w:tcW w:w="837" w:type="dxa"/>
            <w:noWrap w:val="0"/>
            <w:vAlign w:val="center"/>
          </w:tcPr>
          <w:p w14:paraId="3354911E">
            <w:pPr>
              <w:adjustRightInd w:val="0"/>
              <w:snapToGrid w:val="0"/>
              <w:spacing w:line="32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6871" w:type="dxa"/>
            <w:noWrap w:val="0"/>
            <w:vAlign w:val="center"/>
          </w:tcPr>
          <w:p w14:paraId="233E96B4">
            <w:pPr>
              <w:adjustRightInd w:val="0"/>
              <w:snapToGrid w:val="0"/>
              <w:spacing w:line="32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r>
      <w:tr w14:paraId="44B40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58" w:hRule="atLeast"/>
          <w:jc w:val="center"/>
        </w:trPr>
        <w:tc>
          <w:tcPr>
            <w:tcW w:w="720" w:type="dxa"/>
            <w:vMerge w:val="restart"/>
            <w:noWrap w:val="0"/>
            <w:vAlign w:val="center"/>
          </w:tcPr>
          <w:p w14:paraId="1CE3B37F">
            <w:pPr>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w:t>
            </w:r>
            <w:r>
              <w:rPr>
                <w:rFonts w:hint="eastAsia" w:ascii="仿宋" w:hAnsi="仿宋" w:eastAsia="仿宋" w:cs="仿宋"/>
                <w:color w:val="auto"/>
                <w:sz w:val="24"/>
                <w:szCs w:val="24"/>
                <w:highlight w:val="none"/>
                <w:lang w:val="en-US" w:eastAsia="zh-CN"/>
              </w:rPr>
              <w:t>部分</w:t>
            </w:r>
          </w:p>
          <w:p w14:paraId="44BEF30A">
            <w:pPr>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分</w:t>
            </w:r>
          </w:p>
        </w:tc>
        <w:tc>
          <w:tcPr>
            <w:tcW w:w="1188" w:type="dxa"/>
            <w:noWrap w:val="0"/>
            <w:vAlign w:val="center"/>
          </w:tcPr>
          <w:p w14:paraId="79977D80">
            <w:pPr>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lang w:val="en-US" w:eastAsia="zh-CN"/>
              </w:rPr>
              <w:t>同类项目</w:t>
            </w:r>
            <w:r>
              <w:rPr>
                <w:rFonts w:hint="eastAsia" w:ascii="仿宋" w:hAnsi="仿宋" w:eastAsia="仿宋" w:cs="仿宋"/>
                <w:color w:val="auto"/>
                <w:sz w:val="24"/>
                <w:szCs w:val="24"/>
                <w:highlight w:val="none"/>
              </w:rPr>
              <w:t>业绩</w:t>
            </w:r>
          </w:p>
        </w:tc>
        <w:tc>
          <w:tcPr>
            <w:tcW w:w="837" w:type="dxa"/>
            <w:noWrap w:val="0"/>
            <w:vAlign w:val="center"/>
          </w:tcPr>
          <w:p w14:paraId="5897298C">
            <w:pPr>
              <w:spacing w:line="3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6871" w:type="dxa"/>
            <w:noWrap w:val="0"/>
            <w:vAlign w:val="center"/>
          </w:tcPr>
          <w:p w14:paraId="20B1340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一、评分内容：</w:t>
            </w:r>
          </w:p>
          <w:p w14:paraId="2371905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投标人近三年内（自2023年3月1日至投标截止日，以合同签订时间为准）承担过含同类小型设备（详见小型设备明细表）维修保养相关表述的项目，且服务期限不少于12个月，</w:t>
            </w:r>
            <w:r>
              <w:rPr>
                <w:rFonts w:hint="eastAsia" w:ascii="仿宋" w:hAnsi="仿宋" w:eastAsia="仿宋" w:cs="仿宋"/>
                <w:b w:val="0"/>
                <w:bCs w:val="0"/>
                <w:color w:val="auto"/>
                <w:sz w:val="24"/>
                <w:szCs w:val="24"/>
                <w:highlight w:val="none"/>
                <w:lang w:val="en-US" w:eastAsia="zh-CN"/>
              </w:rPr>
              <w:t>以客户为单位，每提供1个服务客户单位业绩案例得4分</w:t>
            </w:r>
            <w:r>
              <w:rPr>
                <w:rFonts w:hint="eastAsia" w:ascii="仿宋" w:hAnsi="仿宋" w:eastAsia="仿宋" w:cs="仿宋"/>
                <w:sz w:val="24"/>
                <w:szCs w:val="24"/>
                <w:highlight w:val="none"/>
                <w:vertAlign w:val="baseline"/>
                <w:lang w:val="en-US" w:eastAsia="zh-CN"/>
              </w:rPr>
              <w:t>，本项满分得12分</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sz w:val="24"/>
                <w:szCs w:val="24"/>
                <w:highlight w:val="none"/>
                <w:vertAlign w:val="baseline"/>
                <w:lang w:val="en-US" w:eastAsia="zh-CN"/>
              </w:rPr>
              <w:t>有效合同业绩需提供3项，超过3项的只取前3项。</w:t>
            </w:r>
          </w:p>
          <w:p w14:paraId="4B952A1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kern w:val="2"/>
                <w:sz w:val="24"/>
                <w:szCs w:val="24"/>
                <w:highlight w:val="none"/>
                <w:vertAlign w:val="baseline"/>
                <w:lang w:val="en-US" w:eastAsia="zh-CN" w:bidi="ar-SA"/>
              </w:rPr>
              <w:t>二、</w:t>
            </w:r>
            <w:r>
              <w:rPr>
                <w:rFonts w:hint="eastAsia" w:ascii="仿宋" w:hAnsi="仿宋" w:eastAsia="仿宋" w:cs="仿宋"/>
                <w:b/>
                <w:bCs/>
                <w:sz w:val="24"/>
                <w:szCs w:val="24"/>
                <w:highlight w:val="none"/>
                <w:vertAlign w:val="baseline"/>
                <w:lang w:val="en-US" w:eastAsia="zh-CN"/>
              </w:rPr>
              <w:t>评分依据：</w:t>
            </w:r>
          </w:p>
          <w:p w14:paraId="22AEBE8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sz w:val="24"/>
                <w:szCs w:val="24"/>
                <w:highlight w:val="none"/>
                <w:vertAlign w:val="baseline"/>
                <w:lang w:val="en-US" w:eastAsia="zh-CN"/>
              </w:rPr>
              <w:t>投标人需提供合同关键页（应包含但不限于合同甲乙双方名称、服务项目名称、涉及业绩的服务内容、服务期限、签订合同时间、甲乙双方公章等关键信息），以上资料提供扫描件加盖公章。</w:t>
            </w:r>
          </w:p>
        </w:tc>
      </w:tr>
      <w:tr w14:paraId="7346C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0" w:type="dxa"/>
            <w:vMerge w:val="continue"/>
            <w:noWrap w:val="0"/>
            <w:vAlign w:val="center"/>
          </w:tcPr>
          <w:p w14:paraId="3269CDB4">
            <w:pPr>
              <w:adjustRightInd w:val="0"/>
              <w:snapToGrid w:val="0"/>
              <w:spacing w:line="320" w:lineRule="exact"/>
              <w:jc w:val="center"/>
              <w:rPr>
                <w:rFonts w:hint="eastAsia" w:ascii="仿宋" w:hAnsi="仿宋" w:eastAsia="仿宋" w:cs="仿宋"/>
                <w:color w:val="auto"/>
                <w:sz w:val="24"/>
                <w:szCs w:val="24"/>
                <w:highlight w:val="none"/>
                <w:lang w:val="en-US" w:eastAsia="zh-CN"/>
              </w:rPr>
            </w:pPr>
          </w:p>
        </w:tc>
        <w:tc>
          <w:tcPr>
            <w:tcW w:w="1188" w:type="dxa"/>
            <w:noWrap w:val="0"/>
            <w:vAlign w:val="center"/>
          </w:tcPr>
          <w:p w14:paraId="06C02BCD">
            <w:pPr>
              <w:adjustRightInd w:val="0"/>
              <w:snapToGrid w:val="0"/>
              <w:spacing w:line="3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无人环卫扫地机维修经验情况</w:t>
            </w:r>
          </w:p>
        </w:tc>
        <w:tc>
          <w:tcPr>
            <w:tcW w:w="837" w:type="dxa"/>
            <w:noWrap w:val="0"/>
            <w:vAlign w:val="center"/>
          </w:tcPr>
          <w:p w14:paraId="179A4D87">
            <w:pPr>
              <w:spacing w:line="3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871" w:type="dxa"/>
            <w:noWrap w:val="0"/>
            <w:vAlign w:val="center"/>
          </w:tcPr>
          <w:p w14:paraId="00F9728D">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一、评分内容：</w:t>
            </w:r>
          </w:p>
          <w:p w14:paraId="0E8A263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1、投标人提供无人环卫扫地机维修经验证明；得5分。</w:t>
            </w:r>
          </w:p>
          <w:p w14:paraId="18454088">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kern w:val="2"/>
                <w:sz w:val="24"/>
                <w:szCs w:val="24"/>
                <w:highlight w:val="none"/>
                <w:vertAlign w:val="baseline"/>
                <w:lang w:val="en-US" w:eastAsia="zh-CN" w:bidi="ar-SA"/>
              </w:rPr>
              <w:t>二、</w:t>
            </w:r>
            <w:r>
              <w:rPr>
                <w:rFonts w:hint="eastAsia" w:ascii="仿宋" w:hAnsi="仿宋" w:eastAsia="仿宋" w:cs="仿宋"/>
                <w:b/>
                <w:bCs/>
                <w:color w:val="auto"/>
                <w:sz w:val="24"/>
                <w:szCs w:val="24"/>
                <w:highlight w:val="none"/>
                <w:vertAlign w:val="baseline"/>
                <w:lang w:val="en-US" w:eastAsia="zh-CN"/>
              </w:rPr>
              <w:t>评分依据：</w:t>
            </w:r>
          </w:p>
          <w:p w14:paraId="5929309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人需提供无人环卫扫地机维修合同关键页（应包含但不限于合同甲乙双方名称、无人环卫扫地机类型、服务期限、签订合同时间、甲乙双方公章等关键信息）、维修图片证明材料。以上资料提供扫描件加盖公章。</w:t>
            </w:r>
          </w:p>
        </w:tc>
      </w:tr>
      <w:tr w14:paraId="440F3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0" w:type="dxa"/>
            <w:vMerge w:val="continue"/>
            <w:noWrap w:val="0"/>
            <w:vAlign w:val="center"/>
          </w:tcPr>
          <w:p w14:paraId="7919DAF4">
            <w:pPr>
              <w:adjustRightInd w:val="0"/>
              <w:snapToGrid w:val="0"/>
              <w:spacing w:line="320" w:lineRule="exact"/>
              <w:jc w:val="center"/>
              <w:rPr>
                <w:rFonts w:hint="eastAsia" w:ascii="仿宋" w:hAnsi="仿宋" w:eastAsia="仿宋" w:cs="仿宋"/>
                <w:color w:val="auto"/>
                <w:sz w:val="24"/>
                <w:szCs w:val="24"/>
                <w:highlight w:val="none"/>
                <w:lang w:val="en-US" w:eastAsia="zh-CN"/>
              </w:rPr>
            </w:pPr>
          </w:p>
        </w:tc>
        <w:tc>
          <w:tcPr>
            <w:tcW w:w="1188" w:type="dxa"/>
            <w:noWrap w:val="0"/>
            <w:vAlign w:val="center"/>
          </w:tcPr>
          <w:p w14:paraId="45ED35BF">
            <w:pPr>
              <w:adjustRightInd w:val="0"/>
              <w:snapToGrid w:val="0"/>
              <w:spacing w:line="3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场地情况</w:t>
            </w:r>
          </w:p>
        </w:tc>
        <w:tc>
          <w:tcPr>
            <w:tcW w:w="837" w:type="dxa"/>
            <w:noWrap w:val="0"/>
            <w:vAlign w:val="center"/>
          </w:tcPr>
          <w:p w14:paraId="156BD043">
            <w:pPr>
              <w:spacing w:line="320" w:lineRule="exact"/>
              <w:jc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5</w:t>
            </w:r>
          </w:p>
        </w:tc>
        <w:tc>
          <w:tcPr>
            <w:tcW w:w="6871" w:type="dxa"/>
            <w:noWrap w:val="0"/>
            <w:vAlign w:val="center"/>
          </w:tcPr>
          <w:p w14:paraId="6DEB0DBF">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一、评分内容：</w:t>
            </w:r>
          </w:p>
          <w:p w14:paraId="496BF7A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1、投标人场地面积≥100m²，且具备非露天维修作业区域，可满足雨天维修，得3分；</w:t>
            </w:r>
          </w:p>
          <w:p w14:paraId="20DA0A8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2、投标人场地处于深圳市龙华区大浪街道范围内，可得2分；场地位于深圳市龙华区内，可得1分；其余不得分。</w:t>
            </w:r>
          </w:p>
          <w:p w14:paraId="7A8ADE3F">
            <w:pPr>
              <w:pStyle w:val="2"/>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vertAlign w:val="baseline"/>
                <w:lang w:val="en-US" w:eastAsia="zh-CN" w:bidi="ar-SA"/>
              </w:rPr>
              <w:t>二、</w:t>
            </w:r>
            <w:r>
              <w:rPr>
                <w:rFonts w:hint="eastAsia" w:ascii="仿宋" w:hAnsi="仿宋" w:eastAsia="仿宋" w:cs="仿宋"/>
                <w:b/>
                <w:bCs/>
                <w:color w:val="auto"/>
                <w:sz w:val="24"/>
                <w:szCs w:val="24"/>
                <w:highlight w:val="none"/>
                <w:vertAlign w:val="baseline"/>
                <w:lang w:val="en-US" w:eastAsia="zh-CN"/>
              </w:rPr>
              <w:t>评分依据</w:t>
            </w:r>
            <w:r>
              <w:rPr>
                <w:rFonts w:hint="eastAsia" w:ascii="仿宋" w:hAnsi="仿宋" w:eastAsia="仿宋" w:cs="仿宋"/>
                <w:b/>
                <w:bCs/>
                <w:color w:val="auto"/>
                <w:kern w:val="2"/>
                <w:sz w:val="24"/>
                <w:szCs w:val="24"/>
                <w:highlight w:val="none"/>
                <w:lang w:val="en-US" w:eastAsia="zh-CN" w:bidi="ar-SA"/>
              </w:rPr>
              <w:t>：</w:t>
            </w:r>
          </w:p>
          <w:p w14:paraId="1E129833">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color w:val="auto"/>
                <w:lang w:val="en-US" w:eastAsia="zh-CN"/>
              </w:rPr>
            </w:pPr>
            <w:r>
              <w:rPr>
                <w:rFonts w:hint="eastAsia" w:ascii="仿宋" w:hAnsi="仿宋" w:eastAsia="仿宋" w:cs="仿宋"/>
                <w:b w:val="0"/>
                <w:bCs w:val="0"/>
                <w:color w:val="auto"/>
                <w:kern w:val="2"/>
                <w:sz w:val="24"/>
                <w:szCs w:val="24"/>
                <w:highlight w:val="none"/>
                <w:vertAlign w:val="baseline"/>
                <w:lang w:val="en-US" w:eastAsia="zh-CN" w:bidi="ar-SA"/>
              </w:rPr>
              <w:t>投标人需提供场地租赁合同、非露天区域图片证明；不提供或不满足任一要求的或评审专家无法认定的不得分。招标人保留现场核实的权利，如投标单位提供虚假信息应标，将取消投标单位的中标资格，并且一切责任由投标单位承担。</w:t>
            </w:r>
          </w:p>
        </w:tc>
      </w:tr>
      <w:tr w14:paraId="66B92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56" w:hRule="atLeast"/>
          <w:jc w:val="center"/>
        </w:trPr>
        <w:tc>
          <w:tcPr>
            <w:tcW w:w="720" w:type="dxa"/>
            <w:vMerge w:val="continue"/>
            <w:noWrap w:val="0"/>
            <w:vAlign w:val="center"/>
          </w:tcPr>
          <w:p w14:paraId="2EA315B9">
            <w:pPr>
              <w:adjustRightInd w:val="0"/>
              <w:snapToGrid w:val="0"/>
              <w:spacing w:line="320" w:lineRule="exact"/>
              <w:jc w:val="center"/>
              <w:rPr>
                <w:rFonts w:hint="eastAsia" w:ascii="仿宋" w:hAnsi="仿宋" w:eastAsia="仿宋" w:cs="仿宋"/>
                <w:color w:val="auto"/>
                <w:sz w:val="24"/>
                <w:szCs w:val="24"/>
                <w:highlight w:val="none"/>
                <w:lang w:val="en-US" w:eastAsia="zh-CN"/>
              </w:rPr>
            </w:pPr>
          </w:p>
        </w:tc>
        <w:tc>
          <w:tcPr>
            <w:tcW w:w="1188" w:type="dxa"/>
            <w:noWrap w:val="0"/>
            <w:vAlign w:val="center"/>
          </w:tcPr>
          <w:p w14:paraId="7AD42A33">
            <w:pPr>
              <w:adjustRightInd w:val="0"/>
              <w:snapToGrid w:val="0"/>
              <w:spacing w:line="3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自有维修设备及仓库情况</w:t>
            </w:r>
          </w:p>
        </w:tc>
        <w:tc>
          <w:tcPr>
            <w:tcW w:w="837" w:type="dxa"/>
            <w:noWrap w:val="0"/>
            <w:vAlign w:val="center"/>
          </w:tcPr>
          <w:p w14:paraId="6962A23D">
            <w:pPr>
              <w:spacing w:line="3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871" w:type="dxa"/>
            <w:noWrap w:val="0"/>
            <w:vAlign w:val="center"/>
          </w:tcPr>
          <w:p w14:paraId="1AA5F64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一、评分内容：</w:t>
            </w:r>
          </w:p>
          <w:p w14:paraId="3E1B4127">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1、投标人具有小型举升机、电焊机等维修设备，提供设备清单，清单种类≥5类，得3分；</w:t>
            </w:r>
          </w:p>
          <w:p w14:paraId="7B0BC9EF">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2、投标人具有独立的零配件仓库，得2分；</w:t>
            </w:r>
          </w:p>
          <w:p w14:paraId="55568007">
            <w:pPr>
              <w:pStyle w:val="2"/>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vertAlign w:val="baseline"/>
                <w:lang w:val="en-US" w:eastAsia="zh-CN" w:bidi="ar-SA"/>
              </w:rPr>
              <w:t>二、</w:t>
            </w:r>
            <w:r>
              <w:rPr>
                <w:rFonts w:hint="eastAsia" w:ascii="仿宋" w:hAnsi="仿宋" w:eastAsia="仿宋" w:cs="仿宋"/>
                <w:b/>
                <w:bCs/>
                <w:color w:val="auto"/>
                <w:sz w:val="24"/>
                <w:szCs w:val="24"/>
                <w:highlight w:val="none"/>
                <w:vertAlign w:val="baseline"/>
                <w:lang w:val="en-US" w:eastAsia="zh-CN"/>
              </w:rPr>
              <w:t>评分依据</w:t>
            </w:r>
            <w:r>
              <w:rPr>
                <w:rFonts w:hint="eastAsia" w:ascii="仿宋" w:hAnsi="仿宋" w:eastAsia="仿宋" w:cs="仿宋"/>
                <w:b/>
                <w:bCs/>
                <w:color w:val="auto"/>
                <w:kern w:val="2"/>
                <w:sz w:val="24"/>
                <w:szCs w:val="24"/>
                <w:highlight w:val="none"/>
                <w:lang w:val="en-US" w:eastAsia="zh-CN" w:bidi="ar-SA"/>
              </w:rPr>
              <w:t>：</w:t>
            </w:r>
          </w:p>
          <w:p w14:paraId="56E172B2">
            <w:pPr>
              <w:pStyle w:val="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color w:val="auto"/>
                <w:lang w:val="en-US" w:eastAsia="zh-CN"/>
              </w:rPr>
            </w:pPr>
            <w:r>
              <w:rPr>
                <w:rFonts w:hint="eastAsia" w:ascii="仿宋" w:hAnsi="仿宋" w:eastAsia="仿宋" w:cs="仿宋"/>
                <w:b w:val="0"/>
                <w:bCs w:val="0"/>
                <w:color w:val="auto"/>
                <w:kern w:val="2"/>
                <w:sz w:val="24"/>
                <w:szCs w:val="24"/>
                <w:highlight w:val="none"/>
                <w:vertAlign w:val="baseline"/>
                <w:lang w:val="en-US" w:eastAsia="zh-CN" w:bidi="ar-SA"/>
              </w:rPr>
              <w:t>投标人需提供相应的维修设备发票和图片、零配件仓库图片证明；不提供或不满足任一要求的或评审专家无法认定的不得分。招标人保留现场核实的权利，如投标单位提供虚假信息应标，将取消投标单位的中标资格，并且一切责任由投标单位承担。</w:t>
            </w:r>
          </w:p>
        </w:tc>
      </w:tr>
      <w:tr w14:paraId="43579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0" w:type="dxa"/>
            <w:vMerge w:val="continue"/>
            <w:noWrap w:val="0"/>
            <w:vAlign w:val="center"/>
          </w:tcPr>
          <w:p w14:paraId="551BA325">
            <w:pPr>
              <w:adjustRightInd w:val="0"/>
              <w:snapToGrid w:val="0"/>
              <w:spacing w:line="320" w:lineRule="exact"/>
              <w:jc w:val="center"/>
              <w:rPr>
                <w:rFonts w:hint="eastAsia" w:ascii="仿宋" w:hAnsi="仿宋" w:eastAsia="仿宋" w:cs="仿宋"/>
                <w:color w:val="auto"/>
                <w:sz w:val="24"/>
                <w:szCs w:val="24"/>
                <w:highlight w:val="none"/>
                <w:lang w:val="en-US" w:eastAsia="zh-CN"/>
              </w:rPr>
            </w:pPr>
          </w:p>
        </w:tc>
        <w:tc>
          <w:tcPr>
            <w:tcW w:w="1188" w:type="dxa"/>
            <w:noWrap w:val="0"/>
            <w:vAlign w:val="center"/>
          </w:tcPr>
          <w:p w14:paraId="100D847C">
            <w:pPr>
              <w:adjustRightInd w:val="0"/>
              <w:snapToGrid w:val="0"/>
              <w:spacing w:line="32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拟投入本项目使用的车辆情况</w:t>
            </w:r>
          </w:p>
        </w:tc>
        <w:tc>
          <w:tcPr>
            <w:tcW w:w="837" w:type="dxa"/>
            <w:noWrap w:val="0"/>
            <w:vAlign w:val="center"/>
          </w:tcPr>
          <w:p w14:paraId="3806EE75">
            <w:pPr>
              <w:spacing w:line="3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871" w:type="dxa"/>
            <w:noWrap w:val="0"/>
            <w:vAlign w:val="center"/>
          </w:tcPr>
          <w:p w14:paraId="337641BA">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一、评分内容：</w:t>
            </w:r>
          </w:p>
          <w:p w14:paraId="0A50B0A1">
            <w:pPr>
              <w:pStyle w:val="2"/>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投标人需提供1台拟使用于本项目的粤B牌作业车辆。需为自有或租赁车辆，本项最高得5分。</w:t>
            </w:r>
          </w:p>
          <w:p w14:paraId="65FDCAD1">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二、评分依据：</w:t>
            </w:r>
          </w:p>
          <w:p w14:paraId="7058D812">
            <w:pPr>
              <w:pStyle w:val="2"/>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1.自有车辆需提供车辆行驶证或购置发票复印件，所有权必须属于投标人；租赁车辆需提供车辆行驶证、租赁合同及租赁发票（提供近三个月，即2026年1月至2026年3月）；</w:t>
            </w:r>
          </w:p>
        </w:tc>
      </w:tr>
      <w:tr w14:paraId="065C8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8" w:hRule="atLeast"/>
          <w:jc w:val="center"/>
        </w:trPr>
        <w:tc>
          <w:tcPr>
            <w:tcW w:w="720" w:type="dxa"/>
            <w:vMerge w:val="continue"/>
            <w:noWrap w:val="0"/>
            <w:vAlign w:val="center"/>
          </w:tcPr>
          <w:p w14:paraId="1C2C318A">
            <w:pPr>
              <w:adjustRightInd w:val="0"/>
              <w:snapToGrid w:val="0"/>
              <w:spacing w:line="320" w:lineRule="exact"/>
              <w:jc w:val="center"/>
              <w:rPr>
                <w:rFonts w:hint="eastAsia" w:ascii="仿宋" w:hAnsi="仿宋" w:eastAsia="仿宋" w:cs="仿宋"/>
                <w:color w:val="auto"/>
                <w:sz w:val="24"/>
                <w:szCs w:val="24"/>
                <w:highlight w:val="none"/>
              </w:rPr>
            </w:pPr>
          </w:p>
        </w:tc>
        <w:tc>
          <w:tcPr>
            <w:tcW w:w="1188" w:type="dxa"/>
            <w:noWrap w:val="0"/>
            <w:vAlign w:val="center"/>
          </w:tcPr>
          <w:p w14:paraId="7259F0DC">
            <w:pPr>
              <w:adjustRightInd w:val="0"/>
              <w:snapToGrid w:val="0"/>
              <w:spacing w:line="32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安全生产标准化认证情况</w:t>
            </w:r>
          </w:p>
        </w:tc>
        <w:tc>
          <w:tcPr>
            <w:tcW w:w="837" w:type="dxa"/>
            <w:noWrap w:val="0"/>
            <w:vAlign w:val="center"/>
          </w:tcPr>
          <w:p w14:paraId="4F2B1FF8">
            <w:pPr>
              <w:spacing w:line="3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6871" w:type="dxa"/>
            <w:noWrap w:val="0"/>
            <w:vAlign w:val="center"/>
          </w:tcPr>
          <w:p w14:paraId="58744A4D">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一、评分内容：</w:t>
            </w:r>
          </w:p>
          <w:p w14:paraId="3EC15A49">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投标人需提供安全生产标准化认证，本项最高得3分。</w:t>
            </w:r>
          </w:p>
          <w:p w14:paraId="7C9E082E">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二、评分依据</w:t>
            </w:r>
          </w:p>
          <w:p w14:paraId="2094F46B">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要求提供以下证明材料：</w:t>
            </w:r>
          </w:p>
          <w:p w14:paraId="0035861C">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1.认证证书均需在有效期内。</w:t>
            </w:r>
          </w:p>
          <w:p w14:paraId="09FE79DC">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2.提供在有效期内的相关证明文件扫描件（加盖公章）及国家认监委网站【全国认证认可信息公共服务平台（http://cx.cnca.cn/CertECloud/index/index/page）】认证信息查询截图（截图需显示证书状态为有效且加盖公章）</w:t>
            </w:r>
          </w:p>
          <w:p w14:paraId="0D4B1506">
            <w:pPr>
              <w:pStyle w:val="2"/>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3.未提供完全或提供的资料无法判断是否有效的均不得分。</w:t>
            </w:r>
          </w:p>
        </w:tc>
      </w:tr>
      <w:tr w14:paraId="2ED07A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9" w:hRule="atLeast"/>
          <w:jc w:val="center"/>
        </w:trPr>
        <w:tc>
          <w:tcPr>
            <w:tcW w:w="720" w:type="dxa"/>
            <w:vMerge w:val="restart"/>
            <w:noWrap w:val="0"/>
            <w:vAlign w:val="center"/>
          </w:tcPr>
          <w:p w14:paraId="12DD2E1D">
            <w:pPr>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w:t>
            </w:r>
            <w:r>
              <w:rPr>
                <w:rFonts w:hint="eastAsia" w:ascii="仿宋" w:hAnsi="仿宋" w:eastAsia="仿宋" w:cs="仿宋"/>
                <w:color w:val="auto"/>
                <w:sz w:val="24"/>
                <w:szCs w:val="24"/>
                <w:highlight w:val="none"/>
                <w:lang w:val="en-US" w:eastAsia="zh-CN"/>
              </w:rPr>
              <w:t>部分</w:t>
            </w:r>
          </w:p>
          <w:p w14:paraId="51B42B10">
            <w:pPr>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分</w:t>
            </w:r>
          </w:p>
        </w:tc>
        <w:tc>
          <w:tcPr>
            <w:tcW w:w="1188" w:type="dxa"/>
            <w:shd w:val="clear" w:color="auto" w:fill="auto"/>
            <w:noWrap w:val="0"/>
            <w:vAlign w:val="center"/>
          </w:tcPr>
          <w:p w14:paraId="751E7AC0">
            <w:pPr>
              <w:spacing w:line="32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拟安排的团队成员情况</w:t>
            </w:r>
          </w:p>
        </w:tc>
        <w:tc>
          <w:tcPr>
            <w:tcW w:w="837" w:type="dxa"/>
            <w:shd w:val="clear" w:color="auto" w:fill="auto"/>
            <w:noWrap w:val="0"/>
            <w:vAlign w:val="center"/>
          </w:tcPr>
          <w:p w14:paraId="1C153E84">
            <w:pPr>
              <w:spacing w:line="320" w:lineRule="exact"/>
              <w:jc w:val="center"/>
              <w:rPr>
                <w:rFonts w:hint="default" w:ascii="仿宋" w:hAnsi="仿宋" w:eastAsia="仿宋" w:cs="仿宋"/>
                <w:color w:val="auto"/>
                <w:kern w:val="2"/>
                <w:sz w:val="24"/>
                <w:szCs w:val="24"/>
                <w:highlight w:val="yellow"/>
                <w:lang w:val="en-US" w:eastAsia="zh-CN" w:bidi="ar-SA"/>
              </w:rPr>
            </w:pPr>
            <w:r>
              <w:rPr>
                <w:rFonts w:hint="eastAsia" w:ascii="仿宋" w:hAnsi="仿宋" w:eastAsia="仿宋" w:cs="仿宋"/>
                <w:color w:val="auto"/>
                <w:sz w:val="24"/>
                <w:szCs w:val="24"/>
                <w:highlight w:val="none"/>
                <w:lang w:val="en-US" w:eastAsia="zh-CN"/>
              </w:rPr>
              <w:t>9</w:t>
            </w:r>
          </w:p>
        </w:tc>
        <w:tc>
          <w:tcPr>
            <w:tcW w:w="6871" w:type="dxa"/>
            <w:shd w:val="clear" w:color="auto" w:fill="auto"/>
            <w:noWrap w:val="0"/>
            <w:vAlign w:val="center"/>
          </w:tcPr>
          <w:p w14:paraId="18296E85">
            <w:pPr>
              <w:keepNext w:val="0"/>
              <w:keepLines w:val="0"/>
              <w:pageBreakBefore w:val="0"/>
              <w:widowControl w:val="0"/>
              <w:kinsoku/>
              <w:wordWrap/>
              <w:overflowPunct/>
              <w:topLinePunct w:val="0"/>
              <w:autoSpaceDE/>
              <w:autoSpaceDN/>
              <w:bidi w:val="0"/>
              <w:adjustRightInd/>
              <w:snapToGrid/>
              <w:spacing w:line="280" w:lineRule="exact"/>
              <w:ind w:firstLine="0" w:firstLine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sz w:val="24"/>
                <w:szCs w:val="24"/>
                <w:highlight w:val="none"/>
                <w:vertAlign w:val="baseline"/>
                <w:lang w:val="en-US" w:eastAsia="zh-CN"/>
              </w:rPr>
              <w:t>一、评分内容</w:t>
            </w:r>
            <w:r>
              <w:rPr>
                <w:rFonts w:hint="eastAsia" w:ascii="仿宋" w:hAnsi="仿宋" w:eastAsia="仿宋" w:cs="仿宋"/>
                <w:b/>
                <w:bCs/>
                <w:color w:val="auto"/>
                <w:sz w:val="24"/>
                <w:szCs w:val="24"/>
                <w:highlight w:val="none"/>
                <w:lang w:val="en-US" w:eastAsia="zh-CN"/>
              </w:rPr>
              <w:t>：</w:t>
            </w:r>
          </w:p>
          <w:p w14:paraId="3D6E1C86">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拟安排的团队成员需为自有员工（以社保为准）</w:t>
            </w:r>
            <w:r>
              <w:rPr>
                <w:rFonts w:hint="eastAsia" w:ascii="仿宋" w:hAnsi="仿宋" w:eastAsia="仿宋" w:cs="仿宋"/>
                <w:color w:val="auto"/>
                <w:sz w:val="24"/>
                <w:szCs w:val="24"/>
                <w:highlight w:val="none"/>
                <w:lang w:eastAsia="zh-CN"/>
              </w:rPr>
              <w:t>，总人数不得少于</w:t>
            </w:r>
            <w:r>
              <w:rPr>
                <w:rFonts w:hint="eastAsia" w:ascii="仿宋" w:hAnsi="仿宋" w:eastAsia="仿宋" w:cs="仿宋"/>
                <w:color w:val="auto"/>
                <w:sz w:val="24"/>
                <w:szCs w:val="24"/>
                <w:highlight w:val="none"/>
                <w:lang w:val="en-US" w:eastAsia="zh-CN"/>
              </w:rPr>
              <w:t>3人，否则不得分</w:t>
            </w:r>
            <w:r>
              <w:rPr>
                <w:rFonts w:hint="eastAsia" w:ascii="仿宋" w:hAnsi="仿宋" w:eastAsia="仿宋" w:cs="仿宋"/>
                <w:color w:val="auto"/>
                <w:sz w:val="24"/>
                <w:szCs w:val="24"/>
                <w:highlight w:val="none"/>
              </w:rPr>
              <w:t>：</w:t>
            </w:r>
          </w:p>
          <w:p w14:paraId="28AEF39A">
            <w:pPr>
              <w:pStyle w:val="5"/>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1.具备</w:t>
            </w:r>
            <w:r>
              <w:rPr>
                <w:rFonts w:hint="eastAsia" w:ascii="仿宋" w:hAnsi="仿宋" w:eastAsia="仿宋" w:cs="仿宋"/>
                <w:color w:val="auto"/>
                <w:sz w:val="24"/>
                <w:szCs w:val="24"/>
                <w:highlight w:val="none"/>
                <w:lang w:val="en-US" w:eastAsia="zh-CN"/>
              </w:rPr>
              <w:t>电</w:t>
            </w:r>
            <w:r>
              <w:rPr>
                <w:rFonts w:hint="eastAsia" w:ascii="仿宋" w:hAnsi="仿宋" w:eastAsia="仿宋" w:cs="仿宋"/>
                <w:color w:val="auto"/>
                <w:sz w:val="24"/>
                <w:szCs w:val="24"/>
                <w:highlight w:val="none"/>
              </w:rPr>
              <w:t>工</w:t>
            </w:r>
            <w:r>
              <w:rPr>
                <w:rFonts w:hint="eastAsia" w:ascii="仿宋" w:hAnsi="仿宋" w:eastAsia="仿宋" w:cs="仿宋"/>
                <w:color w:val="auto"/>
                <w:sz w:val="24"/>
                <w:szCs w:val="24"/>
                <w:highlight w:val="none"/>
                <w:lang w:val="en-US" w:eastAsia="zh-CN"/>
              </w:rPr>
              <w:t>特种作业操作证的</w:t>
            </w:r>
            <w:r>
              <w:rPr>
                <w:rFonts w:hint="eastAsia" w:ascii="仿宋" w:hAnsi="仿宋" w:eastAsia="仿宋" w:cs="仿宋"/>
                <w:color w:val="auto"/>
                <w:sz w:val="24"/>
                <w:szCs w:val="24"/>
                <w:highlight w:val="none"/>
              </w:rPr>
              <w:t>，每提供1名得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分，最高得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分（超过</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人的只取</w:t>
            </w:r>
            <w:r>
              <w:rPr>
                <w:rFonts w:hint="eastAsia" w:ascii="仿宋" w:hAnsi="仿宋" w:eastAsia="仿宋" w:cs="仿宋"/>
                <w:color w:val="auto"/>
                <w:sz w:val="24"/>
                <w:szCs w:val="24"/>
                <w:highlight w:val="none"/>
                <w:lang w:val="en-US" w:eastAsia="zh-CN"/>
              </w:rPr>
              <w:t>第1</w:t>
            </w:r>
            <w:r>
              <w:rPr>
                <w:rFonts w:hint="eastAsia" w:ascii="仿宋" w:hAnsi="仿宋" w:eastAsia="仿宋" w:cs="仿宋"/>
                <w:color w:val="auto"/>
                <w:sz w:val="24"/>
                <w:szCs w:val="24"/>
                <w:highlight w:val="none"/>
              </w:rPr>
              <w:t>人）；</w:t>
            </w:r>
          </w:p>
          <w:p w14:paraId="2AE33CED">
            <w:pPr>
              <w:pStyle w:val="5"/>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2.具备</w:t>
            </w:r>
            <w:r>
              <w:rPr>
                <w:rFonts w:hint="eastAsia" w:ascii="仿宋" w:hAnsi="仿宋" w:eastAsia="仿宋" w:cs="仿宋"/>
                <w:color w:val="auto"/>
                <w:sz w:val="24"/>
                <w:szCs w:val="24"/>
                <w:highlight w:val="none"/>
                <w:lang w:eastAsia="zh-CN"/>
              </w:rPr>
              <w:t>焊工</w:t>
            </w:r>
            <w:r>
              <w:rPr>
                <w:rFonts w:hint="eastAsia" w:ascii="仿宋" w:hAnsi="仿宋" w:eastAsia="仿宋" w:cs="仿宋"/>
                <w:color w:val="auto"/>
                <w:sz w:val="24"/>
                <w:szCs w:val="24"/>
                <w:highlight w:val="none"/>
                <w:lang w:val="en-US" w:eastAsia="zh-CN"/>
              </w:rPr>
              <w:t>特种作业操作证的</w:t>
            </w:r>
            <w:r>
              <w:rPr>
                <w:rFonts w:hint="eastAsia" w:ascii="仿宋" w:hAnsi="仿宋" w:eastAsia="仿宋" w:cs="仿宋"/>
                <w:color w:val="auto"/>
                <w:sz w:val="24"/>
                <w:szCs w:val="24"/>
                <w:highlight w:val="none"/>
              </w:rPr>
              <w:t>，每提供1名得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分。最高得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分（超过</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人的只取</w:t>
            </w:r>
            <w:r>
              <w:rPr>
                <w:rFonts w:hint="eastAsia" w:ascii="仿宋" w:hAnsi="仿宋" w:eastAsia="仿宋" w:cs="仿宋"/>
                <w:color w:val="auto"/>
                <w:sz w:val="24"/>
                <w:szCs w:val="24"/>
                <w:highlight w:val="none"/>
                <w:lang w:val="en-US" w:eastAsia="zh-CN"/>
              </w:rPr>
              <w:t>第1</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CN"/>
              </w:rPr>
              <w:t>；</w:t>
            </w:r>
          </w:p>
          <w:p w14:paraId="0F9064AC">
            <w:pPr>
              <w:pStyle w:val="5"/>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具备安全员管理合格证</w:t>
            </w:r>
            <w:r>
              <w:rPr>
                <w:rFonts w:hint="eastAsia" w:ascii="仿宋" w:hAnsi="仿宋" w:eastAsia="仿宋" w:cs="仿宋"/>
                <w:color w:val="auto"/>
                <w:sz w:val="24"/>
                <w:szCs w:val="24"/>
                <w:highlight w:val="none"/>
              </w:rPr>
              <w:t>，每提供1名得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最高得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分（超过</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人的只取</w:t>
            </w:r>
            <w:r>
              <w:rPr>
                <w:rFonts w:hint="eastAsia" w:ascii="仿宋" w:hAnsi="仿宋" w:eastAsia="仿宋" w:cs="仿宋"/>
                <w:color w:val="auto"/>
                <w:sz w:val="24"/>
                <w:szCs w:val="24"/>
                <w:highlight w:val="none"/>
                <w:lang w:val="en-US" w:eastAsia="zh-CN"/>
              </w:rPr>
              <w:t>第1</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CN"/>
              </w:rPr>
              <w:t>；</w:t>
            </w:r>
          </w:p>
          <w:p w14:paraId="22B54F32">
            <w:pPr>
              <w:pStyle w:val="5"/>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以上所有人员中，同一人不得重复计分，满分为9分。</w:t>
            </w:r>
          </w:p>
          <w:p w14:paraId="1CF1F9A1">
            <w:pPr>
              <w:keepNext w:val="0"/>
              <w:keepLines w:val="0"/>
              <w:pageBreakBefore w:val="0"/>
              <w:widowControl w:val="0"/>
              <w:kinsoku/>
              <w:wordWrap/>
              <w:overflowPunct/>
              <w:topLinePunct w:val="0"/>
              <w:autoSpaceDE/>
              <w:autoSpaceDN/>
              <w:bidi w:val="0"/>
              <w:adjustRightInd/>
              <w:snapToGrid/>
              <w:spacing w:line="280" w:lineRule="exact"/>
              <w:ind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b/>
                <w:bCs/>
                <w:kern w:val="2"/>
                <w:sz w:val="24"/>
                <w:szCs w:val="24"/>
                <w:highlight w:val="none"/>
                <w:vertAlign w:val="baseline"/>
                <w:lang w:val="en-US" w:eastAsia="zh-CN" w:bidi="ar-SA"/>
              </w:rPr>
              <w:t>二、</w:t>
            </w:r>
            <w:r>
              <w:rPr>
                <w:rFonts w:hint="eastAsia" w:ascii="仿宋" w:hAnsi="仿宋" w:eastAsia="仿宋" w:cs="仿宋"/>
                <w:b/>
                <w:bCs/>
                <w:sz w:val="24"/>
                <w:szCs w:val="24"/>
                <w:highlight w:val="none"/>
                <w:vertAlign w:val="baseline"/>
                <w:lang w:val="en-US" w:eastAsia="zh-CN"/>
              </w:rPr>
              <w:t>评分依据</w:t>
            </w:r>
            <w:r>
              <w:rPr>
                <w:rFonts w:hint="eastAsia" w:ascii="仿宋" w:hAnsi="仿宋" w:eastAsia="仿宋" w:cs="仿宋"/>
                <w:b/>
                <w:color w:val="auto"/>
                <w:sz w:val="24"/>
                <w:szCs w:val="24"/>
                <w:highlight w:val="none"/>
              </w:rPr>
              <w:t>：</w:t>
            </w:r>
          </w:p>
          <w:p w14:paraId="354B0415">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拟派人员必须为投标人自有员工，须提供投标截止日前由投标人为其缴交的具有社保收缴部门公章的近3个月或以上的社保缴纳记录(社保缴交证明材料作为自有员工评分依据，如开标日上一个月的社保材料因社保收缴部门原因暂时无法取得，则可以往前顺延一个月），社保资料必须至少显示缴交养老保险信息，未显示该信息的该社保资料则不符合要求，原件备查。若投标人成立不足1个月的，无需提供社保证明，以投标人营业执照成立时间为准，提供承诺函（格式自拟）说明该员工为自有员工；</w:t>
            </w:r>
          </w:p>
          <w:p w14:paraId="24A517D3">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2.提供相关证书扫描件，同时须提供国家应急管理部网站(https://www.mem.gov.cn/)证书信息查询截图作为得分依据，否则不得分；</w:t>
            </w:r>
          </w:p>
          <w:p w14:paraId="365E26B1">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3.未提供或未按要求提供或提供的不清晰导致专家无法判断的，不得分。</w:t>
            </w:r>
          </w:p>
        </w:tc>
      </w:tr>
      <w:tr w14:paraId="6694D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0" w:type="dxa"/>
            <w:vMerge w:val="continue"/>
            <w:noWrap w:val="0"/>
            <w:vAlign w:val="center"/>
          </w:tcPr>
          <w:p w14:paraId="75F6DE16">
            <w:pPr>
              <w:adjustRightInd w:val="0"/>
              <w:snapToGrid w:val="0"/>
              <w:spacing w:line="320" w:lineRule="exact"/>
              <w:jc w:val="center"/>
              <w:rPr>
                <w:rFonts w:hint="eastAsia" w:ascii="仿宋" w:hAnsi="仿宋" w:eastAsia="仿宋" w:cs="仿宋"/>
                <w:color w:val="auto"/>
                <w:sz w:val="24"/>
                <w:szCs w:val="24"/>
                <w:highlight w:val="none"/>
              </w:rPr>
            </w:pPr>
          </w:p>
        </w:tc>
        <w:tc>
          <w:tcPr>
            <w:tcW w:w="1188" w:type="dxa"/>
            <w:tcBorders>
              <w:bottom w:val="single" w:color="auto" w:sz="4" w:space="0"/>
            </w:tcBorders>
            <w:noWrap w:val="0"/>
            <w:vAlign w:val="center"/>
          </w:tcPr>
          <w:p w14:paraId="7E136513">
            <w:pPr>
              <w:adjustRightInd w:val="0"/>
              <w:snapToGrid w:val="0"/>
              <w:spacing w:line="32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维修保养服务方案</w:t>
            </w:r>
          </w:p>
        </w:tc>
        <w:tc>
          <w:tcPr>
            <w:tcW w:w="837" w:type="dxa"/>
            <w:noWrap w:val="0"/>
            <w:vAlign w:val="center"/>
          </w:tcPr>
          <w:p w14:paraId="48D1759B">
            <w:pPr>
              <w:widowControl/>
              <w:adjustRightInd w:val="0"/>
              <w:snapToGrid w:val="0"/>
              <w:spacing w:line="3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6871" w:type="dxa"/>
            <w:noWrap w:val="0"/>
            <w:vAlign w:val="center"/>
          </w:tcPr>
          <w:p w14:paraId="00FB6AAB">
            <w:pPr>
              <w:spacing w:line="320" w:lineRule="exac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sz w:val="24"/>
                <w:szCs w:val="24"/>
                <w:highlight w:val="none"/>
                <w:vertAlign w:val="baseline"/>
                <w:lang w:val="en-US" w:eastAsia="zh-CN"/>
              </w:rPr>
              <w:t>一、评分内容</w:t>
            </w:r>
            <w:r>
              <w:rPr>
                <w:rFonts w:hint="eastAsia" w:ascii="仿宋" w:hAnsi="仿宋" w:eastAsia="仿宋" w:cs="仿宋"/>
                <w:b w:val="0"/>
                <w:bCs w:val="0"/>
                <w:color w:val="auto"/>
                <w:kern w:val="2"/>
                <w:sz w:val="24"/>
                <w:szCs w:val="24"/>
                <w:highlight w:val="none"/>
                <w:lang w:val="en-US" w:eastAsia="zh-CN" w:bidi="ar-SA"/>
              </w:rPr>
              <w:t>：</w:t>
            </w:r>
          </w:p>
          <w:p w14:paraId="43C35AFA">
            <w:pPr>
              <w:pStyle w:val="2"/>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1.投标人提供车辆维修方案，包括以下内容的，每包括一项得2分，最高得8分：</w:t>
            </w:r>
          </w:p>
          <w:p w14:paraId="5607A9E3">
            <w:pPr>
              <w:pStyle w:val="2"/>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（1）安全生产管理；</w:t>
            </w:r>
          </w:p>
          <w:p w14:paraId="4A21EAF2">
            <w:pPr>
              <w:pStyle w:val="2"/>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（2）服务流程规范；</w:t>
            </w:r>
          </w:p>
          <w:p w14:paraId="6EB3312B">
            <w:pPr>
              <w:pStyle w:val="2"/>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（3）质量检验措施；</w:t>
            </w:r>
          </w:p>
          <w:p w14:paraId="6E59EAF5">
            <w:pPr>
              <w:pStyle w:val="2"/>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（4）设备档案管理。</w:t>
            </w:r>
          </w:p>
          <w:p w14:paraId="7E8276B2">
            <w:pPr>
              <w:pStyle w:val="2"/>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2.在此基础上，评委针对各投标人提供的维修保养服务方案进行进阶评审：</w:t>
            </w:r>
          </w:p>
          <w:p w14:paraId="4E8BED48">
            <w:pPr>
              <w:pStyle w:val="2"/>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（1）具备完善的安全生产管理制度和业务流程操作规范，具备完善的检修措施，确保维修保养质量，且能够为采购人设备建立专门的设备维修保养档案台账的，评价为优，得6-7分；</w:t>
            </w:r>
          </w:p>
          <w:p w14:paraId="760F64EF">
            <w:pPr>
              <w:pStyle w:val="2"/>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（2）具备比较完善的安全生产管理制度和业务流程操作规范，具备比较完善的检修措施以确保维修保养质量，且能够为采购人设备建立专门的设备维修保养档案台账的，评价为良，得4-5分；</w:t>
            </w:r>
          </w:p>
          <w:p w14:paraId="027D5904">
            <w:pPr>
              <w:pStyle w:val="2"/>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（3）具备安全生产管理制度、业务流程操作规范和检修措施，且能够为采购人设备建立专门的设备维修保养档案台账的，评价为中，得2-3分；</w:t>
            </w:r>
          </w:p>
          <w:p w14:paraId="32D2FF0C">
            <w:pPr>
              <w:pStyle w:val="2"/>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（4）其他情况，评价为差，不得分。</w:t>
            </w:r>
          </w:p>
          <w:p w14:paraId="00FC6780">
            <w:pPr>
              <w:pStyle w:val="2"/>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kern w:val="2"/>
                <w:sz w:val="24"/>
                <w:szCs w:val="24"/>
                <w:highlight w:val="none"/>
                <w:vertAlign w:val="baseline"/>
                <w:lang w:val="en-US" w:eastAsia="zh-CN" w:bidi="ar-SA"/>
              </w:rPr>
              <w:t>二、</w:t>
            </w:r>
            <w:r>
              <w:rPr>
                <w:rFonts w:hint="eastAsia" w:ascii="仿宋" w:hAnsi="仿宋" w:eastAsia="仿宋" w:cs="仿宋"/>
                <w:b/>
                <w:bCs/>
                <w:sz w:val="24"/>
                <w:szCs w:val="24"/>
                <w:highlight w:val="none"/>
                <w:vertAlign w:val="baseline"/>
                <w:lang w:val="en-US" w:eastAsia="zh-CN"/>
              </w:rPr>
              <w:t>评分依据</w:t>
            </w:r>
            <w:r>
              <w:rPr>
                <w:rFonts w:hint="eastAsia" w:ascii="仿宋" w:hAnsi="仿宋" w:eastAsia="仿宋" w:cs="仿宋"/>
                <w:b/>
                <w:bCs/>
                <w:color w:val="auto"/>
                <w:kern w:val="2"/>
                <w:sz w:val="24"/>
                <w:szCs w:val="24"/>
                <w:highlight w:val="none"/>
                <w:lang w:val="en-US" w:eastAsia="zh-CN" w:bidi="ar-SA"/>
              </w:rPr>
              <w:t>：</w:t>
            </w:r>
          </w:p>
          <w:p w14:paraId="21398766">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投标人自拟方案，</w:t>
            </w:r>
            <w:r>
              <w:rPr>
                <w:rFonts w:hint="eastAsia" w:ascii="仿宋" w:hAnsi="仿宋" w:eastAsia="仿宋" w:cs="仿宋"/>
                <w:color w:val="auto"/>
                <w:sz w:val="24"/>
                <w:szCs w:val="24"/>
                <w:highlight w:val="none"/>
              </w:rPr>
              <w:t>未提供</w:t>
            </w:r>
            <w:r>
              <w:rPr>
                <w:rFonts w:hint="eastAsia" w:ascii="仿宋" w:hAnsi="仿宋" w:eastAsia="仿宋" w:cs="仿宋"/>
                <w:color w:val="auto"/>
                <w:sz w:val="24"/>
                <w:szCs w:val="24"/>
                <w:highlight w:val="none"/>
                <w:lang w:val="en-US" w:eastAsia="zh-CN"/>
              </w:rPr>
              <w:t>方案</w:t>
            </w:r>
            <w:r>
              <w:rPr>
                <w:rFonts w:hint="eastAsia" w:ascii="仿宋" w:hAnsi="仿宋" w:eastAsia="仿宋" w:cs="仿宋"/>
                <w:color w:val="auto"/>
                <w:sz w:val="24"/>
                <w:szCs w:val="24"/>
                <w:highlight w:val="none"/>
              </w:rPr>
              <w:t>或专家无法凭所提供资料判断是否得分的情况，一律做不得分处理。</w:t>
            </w:r>
          </w:p>
        </w:tc>
      </w:tr>
      <w:tr w14:paraId="4CE9CB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0" w:type="dxa"/>
            <w:vMerge w:val="continue"/>
            <w:noWrap w:val="0"/>
            <w:vAlign w:val="center"/>
          </w:tcPr>
          <w:p w14:paraId="17310602">
            <w:pPr>
              <w:adjustRightInd w:val="0"/>
              <w:snapToGrid w:val="0"/>
              <w:spacing w:line="320" w:lineRule="exact"/>
              <w:jc w:val="center"/>
              <w:rPr>
                <w:rFonts w:hint="eastAsia" w:ascii="仿宋" w:hAnsi="仿宋" w:eastAsia="仿宋" w:cs="仿宋"/>
                <w:color w:val="auto"/>
                <w:sz w:val="24"/>
                <w:szCs w:val="24"/>
                <w:highlight w:val="none"/>
              </w:rPr>
            </w:pPr>
          </w:p>
        </w:tc>
        <w:tc>
          <w:tcPr>
            <w:tcW w:w="1188" w:type="dxa"/>
            <w:tcBorders>
              <w:top w:val="single" w:color="auto" w:sz="4" w:space="0"/>
            </w:tcBorders>
            <w:noWrap w:val="0"/>
            <w:vAlign w:val="center"/>
          </w:tcPr>
          <w:p w14:paraId="002F8597">
            <w:pPr>
              <w:widowControl/>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应急处理方案</w:t>
            </w:r>
          </w:p>
        </w:tc>
        <w:tc>
          <w:tcPr>
            <w:tcW w:w="837" w:type="dxa"/>
            <w:noWrap w:val="0"/>
            <w:vAlign w:val="center"/>
          </w:tcPr>
          <w:p w14:paraId="2C0AFB28">
            <w:pPr>
              <w:widowControl/>
              <w:adjustRightInd w:val="0"/>
              <w:snapToGrid w:val="0"/>
              <w:spacing w:line="32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871" w:type="dxa"/>
            <w:noWrap w:val="0"/>
            <w:vAlign w:val="center"/>
          </w:tcPr>
          <w:p w14:paraId="7A846A0B">
            <w:pPr>
              <w:spacing w:line="320" w:lineRule="exac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sz w:val="24"/>
                <w:szCs w:val="24"/>
                <w:highlight w:val="none"/>
                <w:vertAlign w:val="baseline"/>
                <w:lang w:val="en-US" w:eastAsia="zh-CN"/>
              </w:rPr>
              <w:t>一、评分内容</w:t>
            </w:r>
            <w:r>
              <w:rPr>
                <w:rFonts w:hint="eastAsia" w:ascii="仿宋" w:hAnsi="仿宋" w:eastAsia="仿宋" w:cs="仿宋"/>
                <w:b w:val="0"/>
                <w:bCs w:val="0"/>
                <w:color w:val="auto"/>
                <w:kern w:val="2"/>
                <w:sz w:val="24"/>
                <w:szCs w:val="24"/>
                <w:highlight w:val="none"/>
                <w:lang w:val="en-US" w:eastAsia="zh-CN" w:bidi="ar-SA"/>
              </w:rPr>
              <w:t>：</w:t>
            </w:r>
          </w:p>
          <w:p w14:paraId="6ED44717">
            <w:pPr>
              <w:pStyle w:val="17"/>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1.投标人提供从响应时间、保障措施、解决方案等方面编制本项目应急服务方案，包括以下内容的，每包括一项得1分，最高得3分：</w:t>
            </w:r>
          </w:p>
          <w:p w14:paraId="0C9C53D3">
            <w:pPr>
              <w:pStyle w:val="17"/>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（1）应急快速响应服务及承诺；</w:t>
            </w:r>
          </w:p>
          <w:p w14:paraId="08CF9C28">
            <w:pPr>
              <w:pStyle w:val="17"/>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（2）应急情况下的配件供应保障机制；</w:t>
            </w:r>
          </w:p>
          <w:p w14:paraId="66424D3C">
            <w:pPr>
              <w:pStyle w:val="17"/>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（3）应急突发故障的处理方式；</w:t>
            </w:r>
          </w:p>
          <w:p w14:paraId="71E8EB0D">
            <w:pPr>
              <w:pStyle w:val="17"/>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2.在此基础上，评委针对各投标人提供的应急服务方案进行进阶评审：</w:t>
            </w:r>
          </w:p>
          <w:p w14:paraId="272AC9AD">
            <w:pPr>
              <w:pStyle w:val="17"/>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（1）投标人承诺设立7X24小时服务热线，并明确热线电话的，得1.5分；</w:t>
            </w:r>
          </w:p>
          <w:p w14:paraId="33063929">
            <w:pPr>
              <w:pStyle w:val="17"/>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（2）投标人承诺应急情况20分钟内响应，紧急情况2小时内上门维修，一般情况12小时内上门维修的，得1.5分。</w:t>
            </w:r>
          </w:p>
          <w:p w14:paraId="164C2EE5">
            <w:pPr>
              <w:pStyle w:val="17"/>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以上最高得6分。</w:t>
            </w:r>
          </w:p>
          <w:p w14:paraId="1C6FF153">
            <w:pPr>
              <w:pStyle w:val="2"/>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kern w:val="2"/>
                <w:sz w:val="24"/>
                <w:szCs w:val="24"/>
                <w:highlight w:val="none"/>
                <w:vertAlign w:val="baseline"/>
                <w:lang w:val="en-US" w:eastAsia="zh-CN" w:bidi="ar-SA"/>
              </w:rPr>
              <w:t>二、</w:t>
            </w:r>
            <w:r>
              <w:rPr>
                <w:rFonts w:hint="eastAsia" w:ascii="仿宋" w:hAnsi="仿宋" w:eastAsia="仿宋" w:cs="仿宋"/>
                <w:b/>
                <w:bCs/>
                <w:sz w:val="24"/>
                <w:szCs w:val="24"/>
                <w:highlight w:val="none"/>
                <w:vertAlign w:val="baseline"/>
                <w:lang w:val="en-US" w:eastAsia="zh-CN"/>
              </w:rPr>
              <w:t>评分依据</w:t>
            </w:r>
            <w:r>
              <w:rPr>
                <w:rFonts w:hint="eastAsia" w:ascii="仿宋" w:hAnsi="仿宋" w:eastAsia="仿宋" w:cs="仿宋"/>
                <w:b/>
                <w:bCs/>
                <w:color w:val="auto"/>
                <w:kern w:val="2"/>
                <w:sz w:val="24"/>
                <w:szCs w:val="24"/>
                <w:highlight w:val="none"/>
                <w:lang w:val="en-US" w:eastAsia="zh-CN" w:bidi="ar-SA"/>
              </w:rPr>
              <w:t>：</w:t>
            </w:r>
          </w:p>
          <w:p w14:paraId="12AB3FF1">
            <w:pPr>
              <w:pStyle w:val="17"/>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投标人自拟方案，</w:t>
            </w:r>
            <w:r>
              <w:rPr>
                <w:rFonts w:hint="eastAsia" w:ascii="仿宋" w:hAnsi="仿宋" w:eastAsia="仿宋" w:cs="仿宋"/>
                <w:color w:val="auto"/>
                <w:sz w:val="24"/>
                <w:szCs w:val="24"/>
                <w:highlight w:val="none"/>
              </w:rPr>
              <w:t>未提供</w:t>
            </w:r>
            <w:r>
              <w:rPr>
                <w:rFonts w:hint="eastAsia" w:ascii="仿宋" w:hAnsi="仿宋" w:eastAsia="仿宋" w:cs="仿宋"/>
                <w:color w:val="auto"/>
                <w:sz w:val="24"/>
                <w:szCs w:val="24"/>
                <w:highlight w:val="none"/>
                <w:lang w:val="en-US" w:eastAsia="zh-CN"/>
              </w:rPr>
              <w:t>方案</w:t>
            </w:r>
            <w:r>
              <w:rPr>
                <w:rFonts w:hint="eastAsia" w:ascii="仿宋" w:hAnsi="仿宋" w:eastAsia="仿宋" w:cs="仿宋"/>
                <w:color w:val="auto"/>
                <w:sz w:val="24"/>
                <w:szCs w:val="24"/>
                <w:highlight w:val="none"/>
              </w:rPr>
              <w:t>或专家无法凭所提供资料判断是否得分的情况，一律做不得分处理</w:t>
            </w:r>
            <w:r>
              <w:rPr>
                <w:rFonts w:hint="eastAsia" w:ascii="仿宋" w:hAnsi="仿宋" w:eastAsia="仿宋" w:cs="仿宋"/>
                <w:color w:val="auto"/>
                <w:sz w:val="24"/>
                <w:szCs w:val="24"/>
                <w:highlight w:val="none"/>
                <w:lang w:eastAsia="zh-CN"/>
              </w:rPr>
              <w:t>。</w:t>
            </w:r>
          </w:p>
        </w:tc>
      </w:tr>
      <w:tr w14:paraId="2CC5DB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0" w:type="dxa"/>
            <w:vMerge w:val="continue"/>
            <w:noWrap w:val="0"/>
            <w:vAlign w:val="center"/>
          </w:tcPr>
          <w:p w14:paraId="66C94762">
            <w:pPr>
              <w:spacing w:line="320" w:lineRule="exact"/>
              <w:jc w:val="center"/>
              <w:rPr>
                <w:rFonts w:hint="eastAsia" w:ascii="仿宋" w:hAnsi="仿宋" w:eastAsia="仿宋" w:cs="仿宋"/>
                <w:color w:val="auto"/>
                <w:sz w:val="24"/>
                <w:szCs w:val="24"/>
                <w:highlight w:val="none"/>
              </w:rPr>
            </w:pPr>
          </w:p>
        </w:tc>
        <w:tc>
          <w:tcPr>
            <w:tcW w:w="1188" w:type="dxa"/>
            <w:tcBorders>
              <w:left w:val="single" w:color="auto" w:sz="4" w:space="0"/>
            </w:tcBorders>
            <w:noWrap w:val="0"/>
            <w:vAlign w:val="center"/>
          </w:tcPr>
          <w:p w14:paraId="0DEC22EA">
            <w:pPr>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维修</w:t>
            </w:r>
            <w:r>
              <w:rPr>
                <w:rFonts w:hint="eastAsia" w:ascii="仿宋" w:hAnsi="仿宋" w:eastAsia="仿宋" w:cs="仿宋"/>
                <w:color w:val="auto"/>
                <w:sz w:val="24"/>
                <w:szCs w:val="24"/>
                <w:highlight w:val="none"/>
                <w:lang w:val="en-US" w:eastAsia="zh-CN"/>
              </w:rPr>
              <w:t>保养</w:t>
            </w:r>
            <w:r>
              <w:rPr>
                <w:rFonts w:hint="eastAsia" w:ascii="仿宋" w:hAnsi="仿宋" w:eastAsia="仿宋" w:cs="仿宋"/>
                <w:color w:val="auto"/>
                <w:sz w:val="24"/>
                <w:szCs w:val="24"/>
                <w:highlight w:val="none"/>
              </w:rPr>
              <w:t>服务质量承诺</w:t>
            </w:r>
          </w:p>
        </w:tc>
        <w:tc>
          <w:tcPr>
            <w:tcW w:w="837" w:type="dxa"/>
            <w:noWrap w:val="0"/>
            <w:vAlign w:val="center"/>
          </w:tcPr>
          <w:p w14:paraId="5805826F">
            <w:pPr>
              <w:widowControl/>
              <w:adjustRightInd w:val="0"/>
              <w:snapToGrid w:val="0"/>
              <w:spacing w:line="320" w:lineRule="exact"/>
              <w:jc w:val="center"/>
              <w:rPr>
                <w:rFonts w:hint="eastAsia" w:ascii="仿宋" w:hAnsi="仿宋" w:eastAsia="仿宋" w:cs="仿宋"/>
                <w:caps/>
                <w:color w:val="auto"/>
                <w:kern w:val="0"/>
                <w:sz w:val="24"/>
                <w:szCs w:val="24"/>
                <w:highlight w:val="none"/>
              </w:rPr>
            </w:pPr>
            <w:r>
              <w:rPr>
                <w:rFonts w:hint="eastAsia" w:ascii="仿宋" w:hAnsi="仿宋" w:eastAsia="仿宋" w:cs="仿宋"/>
                <w:color w:val="auto"/>
                <w:sz w:val="24"/>
                <w:szCs w:val="24"/>
                <w:highlight w:val="none"/>
                <w:lang w:val="en-US" w:eastAsia="zh-CN"/>
              </w:rPr>
              <w:t>5</w:t>
            </w:r>
          </w:p>
        </w:tc>
        <w:tc>
          <w:tcPr>
            <w:tcW w:w="6871" w:type="dxa"/>
            <w:noWrap w:val="0"/>
            <w:vAlign w:val="center"/>
          </w:tcPr>
          <w:p w14:paraId="096E03EF">
            <w:pPr>
              <w:spacing w:line="320" w:lineRule="exact"/>
              <w:ind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sz w:val="24"/>
                <w:szCs w:val="24"/>
                <w:highlight w:val="none"/>
                <w:vertAlign w:val="baseline"/>
                <w:lang w:val="en-US" w:eastAsia="zh-CN"/>
              </w:rPr>
              <w:t>一、评分内容</w:t>
            </w:r>
            <w:r>
              <w:rPr>
                <w:rFonts w:hint="eastAsia" w:ascii="仿宋" w:hAnsi="仿宋" w:eastAsia="仿宋" w:cs="仿宋"/>
                <w:b w:val="0"/>
                <w:bCs w:val="0"/>
                <w:color w:val="auto"/>
                <w:kern w:val="2"/>
                <w:sz w:val="24"/>
                <w:szCs w:val="24"/>
                <w:highlight w:val="none"/>
                <w:lang w:val="en-US" w:eastAsia="zh-CN" w:bidi="ar-SA"/>
              </w:rPr>
              <w:t>：</w:t>
            </w:r>
          </w:p>
          <w:p w14:paraId="3C14A2AA">
            <w:pPr>
              <w:widowControl/>
              <w:wordWrap/>
              <w:autoSpaceDE/>
              <w:autoSpaceDN/>
              <w:adjustRightInd/>
              <w:snapToGrid/>
              <w:spacing w:line="320" w:lineRule="exact"/>
              <w:ind w:firstLine="480" w:firstLineChars="200"/>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投标人提供以下维修保养服务质量承诺，得5分：</w:t>
            </w:r>
          </w:p>
          <w:p w14:paraId="397CAC74">
            <w:pPr>
              <w:widowControl/>
              <w:wordWrap/>
              <w:autoSpaceDE/>
              <w:autoSpaceDN/>
              <w:adjustRightInd/>
              <w:snapToGrid/>
              <w:spacing w:line="320" w:lineRule="exact"/>
              <w:ind w:firstLine="480" w:firstLineChars="200"/>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①设备维修保养项目半年内再次出现相同配件引起的同类问题返修，采购人不再支付当次维修保养费用；</w:t>
            </w:r>
          </w:p>
          <w:p w14:paraId="7776D98F">
            <w:pPr>
              <w:widowControl/>
              <w:wordWrap/>
              <w:autoSpaceDE/>
              <w:autoSpaceDN/>
              <w:adjustRightInd/>
              <w:snapToGrid/>
              <w:spacing w:line="320" w:lineRule="exact"/>
              <w:ind w:firstLine="480" w:firstLineChars="200"/>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②在同种情况下，保证提供优先维修保养服务。”</w:t>
            </w:r>
          </w:p>
          <w:p w14:paraId="120E2809">
            <w:pPr>
              <w:pStyle w:val="2"/>
              <w:spacing w:line="320" w:lineRule="exact"/>
              <w:ind w:firstLine="0" w:firstLineChars="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kern w:val="2"/>
                <w:sz w:val="24"/>
                <w:szCs w:val="24"/>
                <w:highlight w:val="none"/>
                <w:vertAlign w:val="baseline"/>
                <w:lang w:val="en-US" w:eastAsia="zh-CN" w:bidi="ar-SA"/>
              </w:rPr>
              <w:t>二、</w:t>
            </w:r>
            <w:r>
              <w:rPr>
                <w:rFonts w:hint="eastAsia" w:ascii="仿宋" w:hAnsi="仿宋" w:eastAsia="仿宋" w:cs="仿宋"/>
                <w:b/>
                <w:bCs/>
                <w:sz w:val="24"/>
                <w:szCs w:val="24"/>
                <w:highlight w:val="none"/>
                <w:vertAlign w:val="baseline"/>
                <w:lang w:val="en-US" w:eastAsia="zh-CN"/>
              </w:rPr>
              <w:t>评分依据</w:t>
            </w:r>
            <w:r>
              <w:rPr>
                <w:rFonts w:hint="eastAsia" w:ascii="仿宋" w:hAnsi="仿宋" w:eastAsia="仿宋" w:cs="仿宋"/>
                <w:b/>
                <w:bCs/>
                <w:color w:val="auto"/>
                <w:kern w:val="2"/>
                <w:sz w:val="24"/>
                <w:szCs w:val="24"/>
                <w:highlight w:val="none"/>
                <w:lang w:val="en-US" w:eastAsia="zh-CN" w:bidi="ar-SA"/>
              </w:rPr>
              <w:t>：</w:t>
            </w:r>
          </w:p>
          <w:p w14:paraId="52BE159A">
            <w:pPr>
              <w:pStyle w:val="17"/>
              <w:snapToGrid w:val="0"/>
              <w:spacing w:line="320" w:lineRule="exact"/>
              <w:ind w:firstLine="480" w:firstLineChars="200"/>
              <w:rPr>
                <w:rFonts w:hint="eastAsia" w:ascii="仿宋" w:hAnsi="仿宋" w:eastAsia="仿宋" w:cs="仿宋"/>
                <w:caps/>
                <w:color w:val="auto"/>
                <w:kern w:val="0"/>
                <w:sz w:val="24"/>
                <w:szCs w:val="24"/>
                <w:highlight w:val="none"/>
                <w:lang w:val="en-US"/>
              </w:rPr>
            </w:pPr>
            <w:r>
              <w:rPr>
                <w:rFonts w:hint="eastAsia" w:ascii="仿宋" w:hAnsi="仿宋" w:eastAsia="仿宋" w:cs="仿宋"/>
                <w:b w:val="0"/>
                <w:bCs w:val="0"/>
                <w:color w:val="auto"/>
                <w:kern w:val="2"/>
                <w:sz w:val="24"/>
                <w:szCs w:val="24"/>
                <w:highlight w:val="none"/>
                <w:lang w:val="en-US" w:eastAsia="zh-CN" w:bidi="ar-SA"/>
              </w:rPr>
              <w:t>提供包含上述内容的承诺函（加盖公章）复印件，未按要求提供或承诺内容缺项或不符合要求的，不得分。</w:t>
            </w:r>
          </w:p>
        </w:tc>
      </w:tr>
    </w:tbl>
    <w:p w14:paraId="56512232">
      <w:pPr>
        <w:rPr>
          <w:color w:val="auto"/>
        </w:rPr>
      </w:pPr>
      <w:r>
        <w:rPr>
          <w:color w:val="auto"/>
        </w:rPr>
        <w:br w:type="page"/>
      </w:r>
    </w:p>
    <w:p w14:paraId="5D45B3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三、投标文件组成要求</w:t>
      </w:r>
    </w:p>
    <w:p w14:paraId="55EEB1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资信技术标</w:t>
      </w:r>
    </w:p>
    <w:p w14:paraId="1C75BC3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p w14:paraId="3FC3160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21E9D6D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3.投标人同类项目业绩</w:t>
      </w:r>
    </w:p>
    <w:p w14:paraId="38998BD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4.无人环卫扫地机维修经验情况</w:t>
      </w:r>
    </w:p>
    <w:p w14:paraId="7F06B63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5.场地情况</w:t>
      </w:r>
    </w:p>
    <w:p w14:paraId="57A7ABC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6.自有维修设备及仓库情况</w:t>
      </w:r>
    </w:p>
    <w:p w14:paraId="6BB0A51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7.</w:t>
      </w:r>
      <w:r>
        <w:rPr>
          <w:rFonts w:hint="default" w:ascii="楷体_GB2312" w:hAnsi="楷体_GB2312" w:eastAsia="楷体_GB2312" w:cs="楷体_GB2312"/>
          <w:sz w:val="32"/>
          <w:szCs w:val="32"/>
          <w:highlight w:val="none"/>
          <w:lang w:val="en-US" w:eastAsia="zh-CN"/>
        </w:rPr>
        <w:t>拟投入本项目使用的车辆情况</w:t>
      </w:r>
    </w:p>
    <w:p w14:paraId="15AED41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8.安全生产标准化认证情况</w:t>
      </w:r>
    </w:p>
    <w:p w14:paraId="720402A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9.拟安排的团队成员情况</w:t>
      </w:r>
    </w:p>
    <w:p w14:paraId="65910DF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10.维修保养服务方案</w:t>
      </w:r>
    </w:p>
    <w:p w14:paraId="07BE55E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11.应急处理方案</w:t>
      </w:r>
      <w:r>
        <w:rPr>
          <w:rFonts w:hint="eastAsia" w:ascii="楷体_GB2312" w:hAnsi="楷体_GB2312" w:eastAsia="楷体_GB2312" w:cs="楷体_GB2312"/>
          <w:sz w:val="32"/>
          <w:szCs w:val="32"/>
          <w:highlight w:val="none"/>
          <w:lang w:val="en-US" w:eastAsia="zh-CN"/>
        </w:rPr>
        <w:br w:type="textWrapping"/>
      </w:r>
      <w:r>
        <w:rPr>
          <w:rFonts w:hint="eastAsia" w:ascii="楷体_GB2312" w:hAnsi="楷体_GB2312" w:eastAsia="楷体_GB2312" w:cs="楷体_GB2312"/>
          <w:sz w:val="32"/>
          <w:szCs w:val="32"/>
          <w:highlight w:val="none"/>
          <w:lang w:val="en-US" w:eastAsia="zh-CN"/>
        </w:rPr>
        <w:t>12.维修保养服务质量承诺</w:t>
      </w:r>
    </w:p>
    <w:p w14:paraId="4403476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13.投标报价一览表</w:t>
      </w:r>
    </w:p>
    <w:p w14:paraId="395D3E3F">
      <w:pPr>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br w:type="page"/>
      </w:r>
    </w:p>
    <w:p w14:paraId="5A1E89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tbl>
      <w:tblPr>
        <w:tblStyle w:val="14"/>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2438"/>
        <w:gridCol w:w="2265"/>
        <w:gridCol w:w="2438"/>
      </w:tblGrid>
      <w:tr w14:paraId="008B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5BB7708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企业名称</w:t>
            </w:r>
          </w:p>
        </w:tc>
        <w:tc>
          <w:tcPr>
            <w:tcW w:w="2438" w:type="dxa"/>
            <w:noWrap w:val="0"/>
            <w:vAlign w:val="center"/>
          </w:tcPr>
          <w:p w14:paraId="177E139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仿宋" w:hAnsi="仿宋" w:eastAsia="仿宋" w:cs="仿宋"/>
                <w:kern w:val="0"/>
                <w:sz w:val="30"/>
                <w:szCs w:val="30"/>
                <w:highlight w:val="none"/>
                <w:lang w:val="en-US" w:eastAsia="zh-CN" w:bidi="ar"/>
              </w:rPr>
            </w:pPr>
          </w:p>
        </w:tc>
        <w:tc>
          <w:tcPr>
            <w:tcW w:w="2265" w:type="dxa"/>
            <w:noWrap w:val="0"/>
            <w:vAlign w:val="center"/>
          </w:tcPr>
          <w:p w14:paraId="1580104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企业曾用名（如有）</w:t>
            </w:r>
          </w:p>
        </w:tc>
        <w:tc>
          <w:tcPr>
            <w:tcW w:w="2438" w:type="dxa"/>
            <w:noWrap w:val="0"/>
            <w:vAlign w:val="center"/>
          </w:tcPr>
          <w:p w14:paraId="4672BD4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406C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95A0E7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统一社会信用代码</w:t>
            </w:r>
          </w:p>
        </w:tc>
        <w:tc>
          <w:tcPr>
            <w:tcW w:w="2438" w:type="dxa"/>
            <w:noWrap w:val="0"/>
            <w:vAlign w:val="center"/>
          </w:tcPr>
          <w:p w14:paraId="7D46C17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0279416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企业性质（民营/国有）</w:t>
            </w:r>
          </w:p>
        </w:tc>
        <w:tc>
          <w:tcPr>
            <w:tcW w:w="2438" w:type="dxa"/>
            <w:noWrap w:val="0"/>
            <w:vAlign w:val="center"/>
          </w:tcPr>
          <w:p w14:paraId="26B86FC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6D4A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686BFDE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注册资金（万元）</w:t>
            </w:r>
          </w:p>
        </w:tc>
        <w:tc>
          <w:tcPr>
            <w:tcW w:w="2438" w:type="dxa"/>
            <w:noWrap w:val="0"/>
            <w:vAlign w:val="center"/>
          </w:tcPr>
          <w:p w14:paraId="119C234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4117FB3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注册地址</w:t>
            </w:r>
          </w:p>
        </w:tc>
        <w:tc>
          <w:tcPr>
            <w:tcW w:w="2438" w:type="dxa"/>
            <w:noWrap w:val="0"/>
            <w:vAlign w:val="center"/>
          </w:tcPr>
          <w:p w14:paraId="756B290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1E44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FD187F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企业法定代表人</w:t>
            </w:r>
          </w:p>
        </w:tc>
        <w:tc>
          <w:tcPr>
            <w:tcW w:w="2438" w:type="dxa"/>
            <w:noWrap w:val="0"/>
            <w:vAlign w:val="center"/>
          </w:tcPr>
          <w:p w14:paraId="7D110F1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7E9550F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建立日期</w:t>
            </w:r>
          </w:p>
        </w:tc>
        <w:tc>
          <w:tcPr>
            <w:tcW w:w="2438" w:type="dxa"/>
            <w:noWrap w:val="0"/>
            <w:vAlign w:val="center"/>
          </w:tcPr>
          <w:p w14:paraId="1453CA6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6990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13C6837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企业现有资质类别</w:t>
            </w:r>
          </w:p>
          <w:p w14:paraId="12F37F0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及等级</w:t>
            </w:r>
          </w:p>
        </w:tc>
        <w:tc>
          <w:tcPr>
            <w:tcW w:w="7141" w:type="dxa"/>
            <w:gridSpan w:val="3"/>
            <w:noWrap w:val="0"/>
            <w:vAlign w:val="center"/>
          </w:tcPr>
          <w:p w14:paraId="24F59CA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0C5D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jc w:val="center"/>
        </w:trPr>
        <w:tc>
          <w:tcPr>
            <w:tcW w:w="2665" w:type="dxa"/>
            <w:noWrap w:val="0"/>
            <w:vAlign w:val="center"/>
          </w:tcPr>
          <w:p w14:paraId="0E361B2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企业简介</w:t>
            </w:r>
          </w:p>
          <w:p w14:paraId="270FA5C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（内容包括企业规模、人员数量及具有技术职称人员所占的比率等）</w:t>
            </w:r>
          </w:p>
        </w:tc>
        <w:tc>
          <w:tcPr>
            <w:tcW w:w="7141" w:type="dxa"/>
            <w:gridSpan w:val="3"/>
            <w:noWrap w:val="0"/>
            <w:vAlign w:val="center"/>
          </w:tcPr>
          <w:p w14:paraId="03E1427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12D1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7F7338F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拟派项目负责人及资质</w:t>
            </w:r>
          </w:p>
        </w:tc>
        <w:tc>
          <w:tcPr>
            <w:tcW w:w="7141" w:type="dxa"/>
            <w:gridSpan w:val="3"/>
            <w:noWrap w:val="0"/>
            <w:vAlign w:val="center"/>
          </w:tcPr>
          <w:p w14:paraId="41B6725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7DDC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A5F219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投标联系人及联系方式</w:t>
            </w:r>
          </w:p>
        </w:tc>
        <w:tc>
          <w:tcPr>
            <w:tcW w:w="7141" w:type="dxa"/>
            <w:gridSpan w:val="3"/>
            <w:noWrap w:val="0"/>
            <w:vAlign w:val="center"/>
          </w:tcPr>
          <w:p w14:paraId="7D0E10D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2F53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5A22F70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其他</w:t>
            </w:r>
          </w:p>
        </w:tc>
        <w:tc>
          <w:tcPr>
            <w:tcW w:w="7141" w:type="dxa"/>
            <w:gridSpan w:val="3"/>
            <w:noWrap w:val="0"/>
            <w:vAlign w:val="center"/>
          </w:tcPr>
          <w:p w14:paraId="785A134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bl>
    <w:p w14:paraId="5485415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r>
        <w:rPr>
          <w:rFonts w:hint="eastAsia" w:ascii="仿宋" w:hAnsi="仿宋" w:eastAsia="仿宋" w:cs="仿宋"/>
          <w:b/>
          <w:bCs/>
          <w:sz w:val="24"/>
          <w:szCs w:val="24"/>
          <w:highlight w:val="none"/>
        </w:rPr>
        <w:t>注：</w:t>
      </w:r>
      <w:r>
        <w:rPr>
          <w:rFonts w:hint="eastAsia" w:ascii="仿宋" w:hAnsi="仿宋" w:eastAsia="仿宋" w:cs="仿宋"/>
          <w:b/>
          <w:bCs/>
          <w:sz w:val="24"/>
          <w:szCs w:val="24"/>
          <w:highlight w:val="none"/>
          <w:lang w:val="en-US" w:eastAsia="zh-CN"/>
        </w:rPr>
        <w:t>资质证书等</w:t>
      </w:r>
      <w:r>
        <w:rPr>
          <w:rFonts w:hint="eastAsia" w:ascii="仿宋" w:hAnsi="仿宋" w:eastAsia="仿宋" w:cs="仿宋"/>
          <w:b/>
          <w:bCs/>
          <w:sz w:val="24"/>
          <w:szCs w:val="24"/>
          <w:highlight w:val="none"/>
        </w:rPr>
        <w:t>相关证书</w:t>
      </w:r>
      <w:r>
        <w:rPr>
          <w:rFonts w:hint="eastAsia" w:ascii="仿宋" w:hAnsi="仿宋" w:eastAsia="仿宋" w:cs="仿宋"/>
          <w:b/>
          <w:bCs/>
          <w:sz w:val="24"/>
          <w:szCs w:val="24"/>
          <w:highlight w:val="none"/>
          <w:lang w:eastAsia="zh-CN"/>
        </w:rPr>
        <w:t>复印</w:t>
      </w:r>
      <w:r>
        <w:rPr>
          <w:rFonts w:hint="eastAsia" w:ascii="仿宋" w:hAnsi="仿宋" w:eastAsia="仿宋" w:cs="仿宋"/>
          <w:b/>
          <w:bCs/>
          <w:sz w:val="24"/>
          <w:szCs w:val="24"/>
          <w:highlight w:val="none"/>
        </w:rPr>
        <w:t>件</w:t>
      </w:r>
      <w:r>
        <w:rPr>
          <w:rFonts w:hint="eastAsia" w:ascii="仿宋" w:hAnsi="仿宋" w:eastAsia="仿宋" w:cs="仿宋"/>
          <w:b/>
          <w:bCs/>
          <w:sz w:val="24"/>
          <w:szCs w:val="24"/>
          <w:highlight w:val="none"/>
          <w:lang w:val="en-US" w:eastAsia="zh-CN"/>
        </w:rPr>
        <w:t>加盖公章</w:t>
      </w:r>
      <w:r>
        <w:rPr>
          <w:rFonts w:hint="eastAsia" w:ascii="仿宋" w:hAnsi="仿宋" w:eastAsia="仿宋" w:cs="仿宋"/>
          <w:b/>
          <w:bCs/>
          <w:sz w:val="24"/>
          <w:szCs w:val="24"/>
          <w:highlight w:val="none"/>
        </w:rPr>
        <w:t>应后附，如果表中填写的内容与招标人在相关网站查询结果不一致，将视为投标人存在弄虚作假的情形。</w:t>
      </w:r>
    </w:p>
    <w:p w14:paraId="06225D4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4866B41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投标承诺函</w:t>
      </w:r>
    </w:p>
    <w:p w14:paraId="57812C6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p>
    <w:p w14:paraId="5B0D7EC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w:t>
      </w:r>
      <w:r>
        <w:rPr>
          <w:rFonts w:hint="eastAsia" w:ascii="仿宋_GB2312" w:hAnsi="仿宋_GB2312" w:eastAsia="仿宋_GB2312" w:cs="仿宋_GB2312"/>
          <w:sz w:val="32"/>
          <w:szCs w:val="32"/>
          <w:highlight w:val="none"/>
          <w:u w:val="single"/>
          <w:lang w:val="en-US" w:eastAsia="zh-CN"/>
        </w:rPr>
        <w:t>环境</w:t>
      </w:r>
      <w:r>
        <w:rPr>
          <w:rFonts w:hint="eastAsia" w:ascii="仿宋_GB2312" w:hAnsi="仿宋_GB2312" w:eastAsia="仿宋_GB2312" w:cs="仿宋_GB2312"/>
          <w:sz w:val="32"/>
          <w:szCs w:val="32"/>
          <w:highlight w:val="none"/>
          <w:u w:val="single"/>
        </w:rPr>
        <w:t>有限公司</w:t>
      </w:r>
      <w:r>
        <w:rPr>
          <w:rFonts w:hint="eastAsia" w:ascii="仿宋_GB2312" w:hAnsi="仿宋_GB2312" w:eastAsia="仿宋_GB2312" w:cs="仿宋_GB2312"/>
          <w:sz w:val="32"/>
          <w:szCs w:val="32"/>
          <w:highlight w:val="none"/>
          <w:u w:val="single"/>
          <w:lang w:val="en-US" w:eastAsia="zh-CN"/>
        </w:rPr>
        <w:t xml:space="preserve"> </w:t>
      </w:r>
    </w:p>
    <w:p w14:paraId="31EBC20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为了确保本项目工作顺利进行，我方将严格执行招标投标管理的法律法规，并完全接受</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大浪街道城市管家及福布路项目小设备定点维修保养服务采购</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none"/>
          <w:lang w:val="en-US" w:eastAsia="zh-CN"/>
        </w:rPr>
        <w:t>公开遴选</w:t>
      </w:r>
      <w:r>
        <w:rPr>
          <w:rFonts w:hint="eastAsia" w:ascii="仿宋_GB2312" w:hAnsi="仿宋_GB2312" w:eastAsia="仿宋_GB2312" w:cs="仿宋_GB2312"/>
          <w:sz w:val="32"/>
          <w:szCs w:val="32"/>
          <w:highlight w:val="none"/>
        </w:rPr>
        <w:t xml:space="preserve">公告的所有内容及要求，为此作出如下承诺： </w:t>
      </w:r>
    </w:p>
    <w:p w14:paraId="2E44683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我方接受《大浪街道城市管家及福布路项目小设备定点维修保养服务采购公开遴选公告》中确定的计价方式，根据企业自身情况，理性报价，不会以低于成本的报价竞争。 </w:t>
      </w:r>
    </w:p>
    <w:p w14:paraId="21FF9F4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一旦我方中选，将与委托单位友好合作，依约履行委托合同，自觉接受委托单位的日常监管和履约评价，为委托单位提供优质、高效服务。 </w:t>
      </w:r>
    </w:p>
    <w:p w14:paraId="635839E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如果违反本承诺书中任何条款，我方愿意接受：</w:t>
      </w:r>
    </w:p>
    <w:p w14:paraId="247783A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（1）视作我方单方面违约，并按照合同规定向贵方支付违约金或解除合同； </w:t>
      </w:r>
    </w:p>
    <w:p w14:paraId="19A8A01F">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（2）履约评价评定为合格及以下； </w:t>
      </w:r>
    </w:p>
    <w:p w14:paraId="243028A6">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（3）贵方今后可拒绝我方参与投标； </w:t>
      </w:r>
    </w:p>
    <w:p w14:paraId="45DA4480">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市场</w:t>
      </w:r>
      <w:r>
        <w:rPr>
          <w:rFonts w:hint="eastAsia" w:ascii="仿宋_GB2312" w:hAnsi="仿宋_GB2312" w:eastAsia="仿宋_GB2312" w:cs="仿宋_GB2312"/>
          <w:sz w:val="32"/>
          <w:szCs w:val="32"/>
          <w:highlight w:val="none"/>
        </w:rPr>
        <w:t xml:space="preserve">行政主管部门或相关主管部门的不良行为记录、行政处罚。 </w:t>
      </w:r>
    </w:p>
    <w:p w14:paraId="1EED96D1">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p>
    <w:p w14:paraId="22CD35C3">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p>
    <w:p w14:paraId="56FD97F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3520" w:firstLineChars="11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承诺单位（盖章）： </w:t>
      </w:r>
    </w:p>
    <w:p w14:paraId="146BE6C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1280" w:firstLineChars="4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法定代表人或授权委托人（签章）： </w:t>
      </w:r>
    </w:p>
    <w:p w14:paraId="2F59373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440" w:firstLineChars="17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日</w:t>
      </w:r>
    </w:p>
    <w:p w14:paraId="199F592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p>
    <w:p w14:paraId="141C338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3.投标人同类项目业绩</w:t>
      </w:r>
    </w:p>
    <w:tbl>
      <w:tblPr>
        <w:tblStyle w:val="13"/>
        <w:tblpPr w:leftFromText="180" w:rightFromText="180" w:vertAnchor="text" w:horzAnchor="page" w:tblpX="2022" w:tblpY="769"/>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7"/>
        <w:gridCol w:w="1368"/>
        <w:gridCol w:w="2813"/>
        <w:gridCol w:w="1125"/>
        <w:gridCol w:w="2062"/>
      </w:tblGrid>
      <w:tr w14:paraId="5EA44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27FEC198">
            <w:pPr>
              <w:pStyle w:val="2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1368" w:type="dxa"/>
            <w:noWrap w:val="0"/>
            <w:vAlign w:val="center"/>
          </w:tcPr>
          <w:p w14:paraId="5FE1AD08">
            <w:pPr>
              <w:pStyle w:val="2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客户名称</w:t>
            </w:r>
          </w:p>
        </w:tc>
        <w:tc>
          <w:tcPr>
            <w:tcW w:w="2813" w:type="dxa"/>
            <w:noWrap w:val="0"/>
            <w:vAlign w:val="center"/>
          </w:tcPr>
          <w:p w14:paraId="037B0B3B">
            <w:pPr>
              <w:pStyle w:val="2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项目名称及合同金额（万元）</w:t>
            </w:r>
          </w:p>
        </w:tc>
        <w:tc>
          <w:tcPr>
            <w:tcW w:w="1125" w:type="dxa"/>
            <w:noWrap w:val="0"/>
            <w:vAlign w:val="center"/>
          </w:tcPr>
          <w:p w14:paraId="32B5128F">
            <w:pPr>
              <w:pStyle w:val="2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签订合同时间</w:t>
            </w:r>
          </w:p>
        </w:tc>
        <w:tc>
          <w:tcPr>
            <w:tcW w:w="2062" w:type="dxa"/>
            <w:noWrap w:val="0"/>
            <w:vAlign w:val="center"/>
          </w:tcPr>
          <w:p w14:paraId="3DCD88C0">
            <w:pPr>
              <w:pStyle w:val="2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联系人及电话</w:t>
            </w:r>
          </w:p>
        </w:tc>
      </w:tr>
      <w:tr w14:paraId="19BED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5681EA49">
            <w:pPr>
              <w:pStyle w:val="2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1368" w:type="dxa"/>
            <w:noWrap w:val="0"/>
            <w:vAlign w:val="center"/>
          </w:tcPr>
          <w:p w14:paraId="2825AE2B">
            <w:pPr>
              <w:jc w:val="center"/>
              <w:rPr>
                <w:rFonts w:hint="eastAsia" w:ascii="仿宋" w:hAnsi="仿宋" w:eastAsia="仿宋" w:cs="仿宋"/>
                <w:sz w:val="28"/>
                <w:szCs w:val="28"/>
                <w:highlight w:val="none"/>
              </w:rPr>
            </w:pPr>
          </w:p>
        </w:tc>
        <w:tc>
          <w:tcPr>
            <w:tcW w:w="2813" w:type="dxa"/>
            <w:noWrap w:val="0"/>
            <w:vAlign w:val="center"/>
          </w:tcPr>
          <w:p w14:paraId="238D069A">
            <w:pPr>
              <w:jc w:val="center"/>
              <w:rPr>
                <w:rFonts w:hint="eastAsia" w:ascii="仿宋" w:hAnsi="仿宋" w:eastAsia="仿宋" w:cs="仿宋"/>
                <w:sz w:val="28"/>
                <w:szCs w:val="28"/>
                <w:highlight w:val="none"/>
              </w:rPr>
            </w:pPr>
          </w:p>
        </w:tc>
        <w:tc>
          <w:tcPr>
            <w:tcW w:w="1125" w:type="dxa"/>
            <w:noWrap w:val="0"/>
            <w:vAlign w:val="center"/>
          </w:tcPr>
          <w:p w14:paraId="1E53CAC5">
            <w:pPr>
              <w:jc w:val="center"/>
              <w:rPr>
                <w:rFonts w:hint="eastAsia" w:ascii="仿宋" w:hAnsi="仿宋" w:eastAsia="仿宋" w:cs="仿宋"/>
                <w:sz w:val="28"/>
                <w:szCs w:val="28"/>
                <w:highlight w:val="none"/>
              </w:rPr>
            </w:pPr>
          </w:p>
        </w:tc>
        <w:tc>
          <w:tcPr>
            <w:tcW w:w="2062" w:type="dxa"/>
            <w:noWrap w:val="0"/>
            <w:vAlign w:val="center"/>
          </w:tcPr>
          <w:p w14:paraId="3E80E7BF">
            <w:pPr>
              <w:jc w:val="center"/>
              <w:rPr>
                <w:rFonts w:hint="eastAsia" w:ascii="仿宋" w:hAnsi="仿宋" w:eastAsia="仿宋" w:cs="仿宋"/>
                <w:sz w:val="28"/>
                <w:szCs w:val="28"/>
                <w:highlight w:val="none"/>
              </w:rPr>
            </w:pPr>
          </w:p>
        </w:tc>
      </w:tr>
      <w:tr w14:paraId="0F311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11D1FFAB">
            <w:pPr>
              <w:pStyle w:val="2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1368" w:type="dxa"/>
            <w:noWrap w:val="0"/>
            <w:vAlign w:val="center"/>
          </w:tcPr>
          <w:p w14:paraId="6EC4E92C">
            <w:pPr>
              <w:jc w:val="center"/>
              <w:rPr>
                <w:rFonts w:hint="eastAsia" w:ascii="仿宋" w:hAnsi="仿宋" w:eastAsia="仿宋" w:cs="仿宋"/>
                <w:sz w:val="28"/>
                <w:szCs w:val="28"/>
                <w:highlight w:val="none"/>
              </w:rPr>
            </w:pPr>
          </w:p>
        </w:tc>
        <w:tc>
          <w:tcPr>
            <w:tcW w:w="2813" w:type="dxa"/>
            <w:noWrap w:val="0"/>
            <w:vAlign w:val="center"/>
          </w:tcPr>
          <w:p w14:paraId="72FD68C9">
            <w:pPr>
              <w:jc w:val="center"/>
              <w:rPr>
                <w:rFonts w:hint="eastAsia" w:ascii="仿宋" w:hAnsi="仿宋" w:eastAsia="仿宋" w:cs="仿宋"/>
                <w:sz w:val="28"/>
                <w:szCs w:val="28"/>
                <w:highlight w:val="none"/>
              </w:rPr>
            </w:pPr>
          </w:p>
        </w:tc>
        <w:tc>
          <w:tcPr>
            <w:tcW w:w="1125" w:type="dxa"/>
            <w:noWrap w:val="0"/>
            <w:vAlign w:val="center"/>
          </w:tcPr>
          <w:p w14:paraId="0FC6950B">
            <w:pPr>
              <w:jc w:val="center"/>
              <w:rPr>
                <w:rFonts w:hint="eastAsia" w:ascii="仿宋" w:hAnsi="仿宋" w:eastAsia="仿宋" w:cs="仿宋"/>
                <w:sz w:val="28"/>
                <w:szCs w:val="28"/>
                <w:highlight w:val="none"/>
              </w:rPr>
            </w:pPr>
          </w:p>
        </w:tc>
        <w:tc>
          <w:tcPr>
            <w:tcW w:w="2062" w:type="dxa"/>
            <w:noWrap w:val="0"/>
            <w:vAlign w:val="center"/>
          </w:tcPr>
          <w:p w14:paraId="536231D9">
            <w:pPr>
              <w:jc w:val="center"/>
              <w:rPr>
                <w:rFonts w:hint="eastAsia" w:ascii="仿宋" w:hAnsi="仿宋" w:eastAsia="仿宋" w:cs="仿宋"/>
                <w:sz w:val="28"/>
                <w:szCs w:val="28"/>
                <w:highlight w:val="none"/>
              </w:rPr>
            </w:pPr>
          </w:p>
        </w:tc>
      </w:tr>
      <w:tr w14:paraId="0B5D7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2FFC1930">
            <w:pPr>
              <w:pStyle w:val="2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1368" w:type="dxa"/>
            <w:noWrap w:val="0"/>
            <w:vAlign w:val="center"/>
          </w:tcPr>
          <w:p w14:paraId="4B970B63">
            <w:pPr>
              <w:jc w:val="center"/>
              <w:rPr>
                <w:rFonts w:hint="eastAsia" w:ascii="仿宋" w:hAnsi="仿宋" w:eastAsia="仿宋" w:cs="仿宋"/>
                <w:sz w:val="28"/>
                <w:szCs w:val="28"/>
                <w:highlight w:val="none"/>
              </w:rPr>
            </w:pPr>
          </w:p>
        </w:tc>
        <w:tc>
          <w:tcPr>
            <w:tcW w:w="2813" w:type="dxa"/>
            <w:noWrap w:val="0"/>
            <w:vAlign w:val="center"/>
          </w:tcPr>
          <w:p w14:paraId="45BF06BF">
            <w:pPr>
              <w:jc w:val="center"/>
              <w:rPr>
                <w:rFonts w:hint="eastAsia" w:ascii="仿宋" w:hAnsi="仿宋" w:eastAsia="仿宋" w:cs="仿宋"/>
                <w:sz w:val="28"/>
                <w:szCs w:val="28"/>
                <w:highlight w:val="none"/>
              </w:rPr>
            </w:pPr>
          </w:p>
        </w:tc>
        <w:tc>
          <w:tcPr>
            <w:tcW w:w="1125" w:type="dxa"/>
            <w:noWrap w:val="0"/>
            <w:vAlign w:val="center"/>
          </w:tcPr>
          <w:p w14:paraId="4CE2F326">
            <w:pPr>
              <w:jc w:val="center"/>
              <w:rPr>
                <w:rFonts w:hint="eastAsia" w:ascii="仿宋" w:hAnsi="仿宋" w:eastAsia="仿宋" w:cs="仿宋"/>
                <w:sz w:val="28"/>
                <w:szCs w:val="28"/>
                <w:highlight w:val="none"/>
              </w:rPr>
            </w:pPr>
          </w:p>
        </w:tc>
        <w:tc>
          <w:tcPr>
            <w:tcW w:w="2062" w:type="dxa"/>
            <w:noWrap w:val="0"/>
            <w:vAlign w:val="center"/>
          </w:tcPr>
          <w:p w14:paraId="23ECB1D5">
            <w:pPr>
              <w:jc w:val="center"/>
              <w:rPr>
                <w:rFonts w:hint="eastAsia" w:ascii="仿宋" w:hAnsi="仿宋" w:eastAsia="仿宋" w:cs="仿宋"/>
                <w:sz w:val="28"/>
                <w:szCs w:val="28"/>
                <w:highlight w:val="none"/>
              </w:rPr>
            </w:pPr>
          </w:p>
        </w:tc>
      </w:tr>
      <w:tr w14:paraId="6F95E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35716F36">
            <w:pPr>
              <w:pStyle w:val="2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1368" w:type="dxa"/>
            <w:noWrap w:val="0"/>
            <w:vAlign w:val="center"/>
          </w:tcPr>
          <w:p w14:paraId="1EF9E8CC">
            <w:pPr>
              <w:jc w:val="center"/>
              <w:rPr>
                <w:rFonts w:hint="eastAsia" w:ascii="仿宋" w:hAnsi="仿宋" w:eastAsia="仿宋" w:cs="仿宋"/>
                <w:sz w:val="28"/>
                <w:szCs w:val="28"/>
                <w:highlight w:val="none"/>
              </w:rPr>
            </w:pPr>
          </w:p>
        </w:tc>
        <w:tc>
          <w:tcPr>
            <w:tcW w:w="2813" w:type="dxa"/>
            <w:noWrap w:val="0"/>
            <w:vAlign w:val="center"/>
          </w:tcPr>
          <w:p w14:paraId="5B815A8F">
            <w:pPr>
              <w:jc w:val="center"/>
              <w:rPr>
                <w:rFonts w:hint="eastAsia" w:ascii="仿宋" w:hAnsi="仿宋" w:eastAsia="仿宋" w:cs="仿宋"/>
                <w:sz w:val="28"/>
                <w:szCs w:val="28"/>
                <w:highlight w:val="none"/>
              </w:rPr>
            </w:pPr>
          </w:p>
        </w:tc>
        <w:tc>
          <w:tcPr>
            <w:tcW w:w="1125" w:type="dxa"/>
            <w:noWrap w:val="0"/>
            <w:vAlign w:val="center"/>
          </w:tcPr>
          <w:p w14:paraId="3A8E1BA5">
            <w:pPr>
              <w:jc w:val="center"/>
              <w:rPr>
                <w:rFonts w:hint="eastAsia" w:ascii="仿宋" w:hAnsi="仿宋" w:eastAsia="仿宋" w:cs="仿宋"/>
                <w:sz w:val="28"/>
                <w:szCs w:val="28"/>
                <w:highlight w:val="none"/>
              </w:rPr>
            </w:pPr>
          </w:p>
        </w:tc>
        <w:tc>
          <w:tcPr>
            <w:tcW w:w="2062" w:type="dxa"/>
            <w:noWrap w:val="0"/>
            <w:vAlign w:val="center"/>
          </w:tcPr>
          <w:p w14:paraId="44D6A105">
            <w:pPr>
              <w:jc w:val="center"/>
              <w:rPr>
                <w:rFonts w:hint="eastAsia" w:ascii="仿宋" w:hAnsi="仿宋" w:eastAsia="仿宋" w:cs="仿宋"/>
                <w:sz w:val="28"/>
                <w:szCs w:val="28"/>
                <w:highlight w:val="none"/>
              </w:rPr>
            </w:pPr>
          </w:p>
        </w:tc>
      </w:tr>
    </w:tbl>
    <w:p w14:paraId="3FC8B17E">
      <w:pPr>
        <w:pStyle w:val="26"/>
        <w:jc w:val="center"/>
        <w:outlineLvl w:val="3"/>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投标人业绩情况表</w:t>
      </w:r>
    </w:p>
    <w:p w14:paraId="37A60FE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根据上述业绩情况，按</w:t>
      </w:r>
      <w:r>
        <w:rPr>
          <w:rFonts w:hint="eastAsia" w:ascii="仿宋" w:hAnsi="仿宋" w:eastAsia="仿宋" w:cs="仿宋"/>
          <w:b w:val="0"/>
          <w:bCs w:val="0"/>
          <w:sz w:val="24"/>
          <w:szCs w:val="24"/>
          <w:highlight w:val="none"/>
          <w:lang w:val="en-US" w:eastAsia="zh-CN"/>
        </w:rPr>
        <w:t>遴选</w:t>
      </w:r>
      <w:r>
        <w:rPr>
          <w:rFonts w:hint="eastAsia" w:ascii="仿宋" w:hAnsi="仿宋" w:eastAsia="仿宋" w:cs="仿宋"/>
          <w:b w:val="0"/>
          <w:bCs w:val="0"/>
          <w:sz w:val="24"/>
          <w:szCs w:val="24"/>
          <w:highlight w:val="none"/>
        </w:rPr>
        <w:t>文件要求附销售或服务合同复印件及评审标准要求的证明材料</w:t>
      </w:r>
    </w:p>
    <w:p w14:paraId="3B8B643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highlight w:val="none"/>
          <w:lang w:val="en-US" w:eastAsia="zh-CN"/>
        </w:rPr>
      </w:pPr>
      <w:r>
        <w:rPr>
          <w:rFonts w:hint="eastAsia" w:ascii="仿宋" w:hAnsi="仿宋" w:eastAsia="仿宋" w:cs="仿宋"/>
          <w:b w:val="0"/>
          <w:bCs w:val="0"/>
          <w:sz w:val="24"/>
          <w:szCs w:val="24"/>
          <w:highlight w:val="none"/>
        </w:rPr>
        <w:t>注：提供项目合同关键页（应包含但不限于合同甲乙双方名称、服务项目名称、涉及业绩的服务内容、服务期限、签订合同时间、甲乙双方公章等关键信息）扫描件</w:t>
      </w:r>
      <w:r>
        <w:rPr>
          <w:rFonts w:hint="eastAsia" w:ascii="仿宋" w:hAnsi="仿宋" w:eastAsia="仿宋" w:cs="仿宋"/>
          <w:b w:val="0"/>
          <w:bCs w:val="0"/>
          <w:sz w:val="24"/>
          <w:szCs w:val="24"/>
          <w:highlight w:val="none"/>
          <w:lang w:val="en-US" w:eastAsia="zh-CN"/>
        </w:rPr>
        <w:t>加盖公章</w:t>
      </w:r>
      <w:r>
        <w:rPr>
          <w:rFonts w:hint="eastAsia" w:ascii="仿宋" w:hAnsi="仿宋" w:eastAsia="仿宋" w:cs="仿宋"/>
          <w:b w:val="0"/>
          <w:bCs w:val="0"/>
          <w:sz w:val="24"/>
          <w:szCs w:val="24"/>
          <w:highlight w:val="none"/>
        </w:rPr>
        <w:t>，原件备查。</w:t>
      </w:r>
      <w:r>
        <w:rPr>
          <w:rFonts w:hint="eastAsia" w:ascii="仿宋" w:hAnsi="仿宋" w:eastAsia="仿宋" w:cs="仿宋"/>
          <w:b w:val="0"/>
          <w:bCs w:val="0"/>
          <w:sz w:val="24"/>
          <w:szCs w:val="24"/>
          <w:highlight w:val="none"/>
          <w:lang w:val="en-US" w:eastAsia="zh-CN"/>
        </w:rPr>
        <w:t>采购人</w:t>
      </w:r>
      <w:r>
        <w:rPr>
          <w:rFonts w:hint="eastAsia" w:ascii="仿宋" w:hAnsi="仿宋" w:eastAsia="仿宋" w:cs="仿宋"/>
          <w:b w:val="0"/>
          <w:bCs w:val="0"/>
          <w:sz w:val="24"/>
          <w:szCs w:val="24"/>
          <w:highlight w:val="none"/>
        </w:rPr>
        <w:t>有权对投标人提供的资料真实性进行核查。</w:t>
      </w:r>
    </w:p>
    <w:p w14:paraId="328F742A">
      <w:pPr>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br w:type="page"/>
      </w:r>
    </w:p>
    <w:p w14:paraId="29260840">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4.无人环卫扫地机维修经验情况</w:t>
      </w:r>
    </w:p>
    <w:p w14:paraId="57A39000">
      <w:pPr>
        <w:pStyle w:val="2"/>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sz w:val="32"/>
          <w:szCs w:val="32"/>
          <w:highlight w:val="none"/>
          <w:lang w:val="en-US" w:eastAsia="zh-CN"/>
        </w:rPr>
        <w:t>（格式内容自拟）</w:t>
      </w:r>
    </w:p>
    <w:p w14:paraId="3BA23E3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5.场地情况</w:t>
      </w:r>
    </w:p>
    <w:p w14:paraId="65F902C8">
      <w:pPr>
        <w:pStyle w:val="2"/>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sz w:val="32"/>
          <w:szCs w:val="32"/>
          <w:highlight w:val="none"/>
          <w:lang w:val="en-US" w:eastAsia="zh-CN"/>
        </w:rPr>
        <w:t>（格式内容自拟）</w:t>
      </w:r>
    </w:p>
    <w:p w14:paraId="36DE150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6.自有维修设备及仓库情况</w:t>
      </w:r>
    </w:p>
    <w:p w14:paraId="584D6C8D">
      <w:pPr>
        <w:pStyle w:val="2"/>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sz w:val="32"/>
          <w:szCs w:val="32"/>
          <w:highlight w:val="none"/>
          <w:lang w:val="en-US" w:eastAsia="zh-CN"/>
        </w:rPr>
        <w:t>（格式内容自拟）</w:t>
      </w:r>
    </w:p>
    <w:p w14:paraId="03C3ACA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7.拟投入本项目使用的车辆情况</w:t>
      </w:r>
    </w:p>
    <w:p w14:paraId="55F13BB7">
      <w:pPr>
        <w:pStyle w:val="2"/>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sz w:val="32"/>
          <w:szCs w:val="32"/>
          <w:highlight w:val="none"/>
          <w:lang w:val="en-US" w:eastAsia="zh-CN"/>
        </w:rPr>
        <w:t>（格式内容自拟）</w:t>
      </w:r>
    </w:p>
    <w:p w14:paraId="0C5EDDDB">
      <w:pPr>
        <w:pStyle w:val="2"/>
        <w:keepNext w:val="0"/>
        <w:keepLines w:val="0"/>
        <w:pageBreakBefore w:val="0"/>
        <w:numPr>
          <w:ilvl w:val="0"/>
          <w:numId w:val="0"/>
        </w:numPr>
        <w:kinsoku/>
        <w:wordWrap/>
        <w:overflowPunct/>
        <w:topLinePunct w:val="0"/>
        <w:autoSpaceDE/>
        <w:autoSpaceDN/>
        <w:bidi w:val="0"/>
        <w:adjustRightInd/>
        <w:snapToGrid/>
        <w:spacing w:after="0" w:line="480" w:lineRule="auto"/>
        <w:jc w:val="left"/>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8.安全生产标准化认证情况</w:t>
      </w:r>
    </w:p>
    <w:p w14:paraId="40D77213">
      <w:pPr>
        <w:pStyle w:val="2"/>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sz w:val="32"/>
          <w:szCs w:val="32"/>
          <w:highlight w:val="none"/>
          <w:lang w:val="en-US" w:eastAsia="zh-CN"/>
        </w:rPr>
        <w:t>（格式内容自拟）</w:t>
      </w:r>
    </w:p>
    <w:p w14:paraId="63EF1EB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9.拟安排的团队成员情况</w:t>
      </w:r>
    </w:p>
    <w:p w14:paraId="32DBA25D">
      <w:pPr>
        <w:pStyle w:val="2"/>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3B73E63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10.维修保养服务方案</w:t>
      </w:r>
    </w:p>
    <w:p w14:paraId="14540CA3">
      <w:pPr>
        <w:pStyle w:val="2"/>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4E6C096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11.应急处理方案</w:t>
      </w:r>
    </w:p>
    <w:p w14:paraId="713E79EE">
      <w:pPr>
        <w:pStyle w:val="2"/>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3258CDC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12.维修保养服务质量承诺</w:t>
      </w:r>
    </w:p>
    <w:p w14:paraId="29F78CAB">
      <w:pPr>
        <w:pStyle w:val="2"/>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6C1B2C38">
      <w:pPr>
        <w:pStyle w:val="2"/>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sz w:val="32"/>
          <w:szCs w:val="32"/>
          <w:highlight w:val="none"/>
          <w:lang w:val="en-US" w:eastAsia="zh-CN"/>
        </w:rPr>
      </w:pPr>
    </w:p>
    <w:p w14:paraId="07070ABE">
      <w:pPr>
        <w:pStyle w:val="10"/>
        <w:rPr>
          <w:rFonts w:hint="eastAsia" w:ascii="楷体_GB2312" w:hAnsi="楷体_GB2312" w:eastAsia="楷体_GB2312" w:cs="楷体_GB2312"/>
          <w:sz w:val="32"/>
          <w:szCs w:val="32"/>
          <w:highlight w:val="none"/>
          <w:lang w:val="en-US" w:eastAsia="zh-CN"/>
        </w:rPr>
      </w:pPr>
    </w:p>
    <w:p w14:paraId="143CF45C">
      <w:pPr>
        <w:pStyle w:val="12"/>
        <w:rPr>
          <w:rFonts w:hint="eastAsia"/>
          <w:highlight w:val="none"/>
          <w:lang w:val="en-US" w:eastAsia="zh-CN"/>
        </w:rPr>
      </w:pPr>
    </w:p>
    <w:p w14:paraId="316D7FC6">
      <w:pPr>
        <w:pStyle w:val="12"/>
        <w:rPr>
          <w:rFonts w:hint="eastAsia"/>
          <w:highlight w:val="none"/>
          <w:lang w:val="en-US" w:eastAsia="zh-CN"/>
        </w:rPr>
        <w:sectPr>
          <w:pgSz w:w="11906" w:h="16838"/>
          <w:pgMar w:top="2098" w:right="1417" w:bottom="1984" w:left="1587" w:header="851" w:footer="992" w:gutter="0"/>
          <w:cols w:space="425" w:num="1"/>
          <w:docGrid w:type="lines" w:linePitch="312" w:charSpace="0"/>
        </w:sectPr>
      </w:pPr>
    </w:p>
    <w:p w14:paraId="7DED2745">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highlight w:val="none"/>
          <w:lang w:val="en-US" w:eastAsia="zh-CN"/>
        </w:rPr>
      </w:pPr>
      <w:r>
        <w:rPr>
          <w:rFonts w:hint="eastAsia" w:ascii="楷体_GB2312" w:hAnsi="楷体_GB2312" w:eastAsia="楷体_GB2312" w:cs="楷体_GB2312"/>
          <w:sz w:val="32"/>
          <w:szCs w:val="32"/>
          <w:highlight w:val="none"/>
          <w:lang w:val="en-US" w:eastAsia="zh-CN"/>
        </w:rPr>
        <w:t>13.投标报价一览表</w:t>
      </w:r>
    </w:p>
    <w:p w14:paraId="1210FD79">
      <w:pPr>
        <w:pStyle w:val="7"/>
        <w:keepNext w:val="0"/>
        <w:keepLines w:val="0"/>
        <w:pageBreakBefore w:val="0"/>
        <w:widowControl w:val="0"/>
        <w:kinsoku/>
        <w:wordWrap/>
        <w:overflowPunct/>
        <w:topLinePunct w:val="0"/>
        <w:bidi w:val="0"/>
        <w:adjustRightInd w:val="0"/>
        <w:snapToGrid w:val="0"/>
        <w:spacing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u w:val="single"/>
        </w:rPr>
        <w:t>深圳市龙华环境有限公司</w:t>
      </w:r>
    </w:p>
    <w:p w14:paraId="4135C2A4">
      <w:pPr>
        <w:pStyle w:val="7"/>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经分析研究</w:t>
      </w: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highlight w:val="none"/>
        </w:rPr>
        <w:t>人提供的本次</w:t>
      </w:r>
      <w:r>
        <w:rPr>
          <w:rFonts w:hint="eastAsia" w:ascii="仿宋_GB2312" w:hAnsi="仿宋_GB2312" w:eastAsia="仿宋_GB2312" w:cs="仿宋_GB2312"/>
          <w:sz w:val="32"/>
          <w:szCs w:val="32"/>
          <w:highlight w:val="none"/>
          <w:lang w:val="en-US" w:eastAsia="zh-CN"/>
        </w:rPr>
        <w:t>遴选</w:t>
      </w:r>
      <w:r>
        <w:rPr>
          <w:rFonts w:hint="eastAsia" w:ascii="仿宋_GB2312" w:hAnsi="仿宋_GB2312" w:eastAsia="仿宋_GB2312" w:cs="仿宋_GB2312"/>
          <w:sz w:val="32"/>
          <w:szCs w:val="32"/>
          <w:highlight w:val="none"/>
        </w:rPr>
        <w:t>公告内容，本投标人就</w:t>
      </w:r>
      <w:r>
        <w:rPr>
          <w:rFonts w:hint="eastAsia" w:ascii="仿宋_GB2312" w:hAnsi="仿宋_GB2312" w:eastAsia="仿宋_GB2312" w:cs="仿宋_GB2312"/>
          <w:sz w:val="32"/>
          <w:szCs w:val="32"/>
          <w:highlight w:val="none"/>
          <w:u w:val="single"/>
        </w:rPr>
        <w:t>大浪街道城市管家及福布路项目小设备定点维修保养服务采购</w:t>
      </w:r>
      <w:r>
        <w:rPr>
          <w:rFonts w:hint="eastAsia" w:ascii="仿宋_GB2312" w:hAnsi="仿宋_GB2312" w:eastAsia="仿宋_GB2312" w:cs="仿宋_GB2312"/>
          <w:sz w:val="32"/>
          <w:szCs w:val="32"/>
          <w:highlight w:val="none"/>
        </w:rPr>
        <w:t>的报价见下表所列：</w:t>
      </w:r>
    </w:p>
    <w:tbl>
      <w:tblPr>
        <w:tblStyle w:val="14"/>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6"/>
        <w:gridCol w:w="1939"/>
        <w:gridCol w:w="1916"/>
        <w:gridCol w:w="2717"/>
      </w:tblGrid>
      <w:tr w14:paraId="6456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066" w:type="dxa"/>
            <w:vAlign w:val="center"/>
          </w:tcPr>
          <w:p w14:paraId="4DCE0290">
            <w:pPr>
              <w:keepNext w:val="0"/>
              <w:keepLines w:val="0"/>
              <w:pageBreakBefore w:val="0"/>
              <w:widowControl w:val="0"/>
              <w:kinsoku/>
              <w:wordWrap/>
              <w:overflowPunct/>
              <w:topLinePunct w:val="0"/>
              <w:bidi w:val="0"/>
              <w:adjustRightInd w:val="0"/>
              <w:snapToGrid w:val="0"/>
              <w:spacing w:line="560" w:lineRule="exact"/>
              <w:jc w:val="center"/>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项目名称</w:t>
            </w:r>
          </w:p>
        </w:tc>
        <w:tc>
          <w:tcPr>
            <w:tcW w:w="1939" w:type="dxa"/>
            <w:vAlign w:val="center"/>
          </w:tcPr>
          <w:p w14:paraId="798C2025">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投标上限价</w:t>
            </w:r>
          </w:p>
          <w:p w14:paraId="2FF52D65">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（万元）</w:t>
            </w:r>
          </w:p>
        </w:tc>
        <w:tc>
          <w:tcPr>
            <w:tcW w:w="1916" w:type="dxa"/>
            <w:vAlign w:val="center"/>
          </w:tcPr>
          <w:p w14:paraId="498FAD80">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 w:hAnsi="仿宋" w:eastAsia="仿宋" w:cs="仿宋"/>
                <w:kern w:val="2"/>
                <w:sz w:val="28"/>
                <w:szCs w:val="28"/>
                <w:highlight w:val="yellow"/>
                <w:lang w:val="en-US" w:eastAsia="zh-CN" w:bidi="ar-SA"/>
              </w:rPr>
            </w:pPr>
            <w:r>
              <w:rPr>
                <w:rFonts w:hint="eastAsia" w:ascii="仿宋" w:hAnsi="仿宋" w:eastAsia="仿宋" w:cs="仿宋"/>
                <w:kern w:val="2"/>
                <w:sz w:val="28"/>
                <w:szCs w:val="28"/>
                <w:highlight w:val="none"/>
                <w:lang w:val="en-US" w:eastAsia="zh-CN" w:bidi="ar-SA"/>
              </w:rPr>
              <w:t>投标折扣率</w:t>
            </w:r>
          </w:p>
        </w:tc>
        <w:tc>
          <w:tcPr>
            <w:tcW w:w="2717" w:type="dxa"/>
            <w:vAlign w:val="center"/>
          </w:tcPr>
          <w:p w14:paraId="4A525D1D">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备注</w:t>
            </w:r>
          </w:p>
        </w:tc>
      </w:tr>
      <w:tr w14:paraId="54D0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066" w:type="dxa"/>
            <w:vAlign w:val="center"/>
          </w:tcPr>
          <w:p w14:paraId="78C328CD">
            <w:pPr>
              <w:keepNext w:val="0"/>
              <w:keepLines w:val="0"/>
              <w:pageBreakBefore w:val="0"/>
              <w:widowControl w:val="0"/>
              <w:kinsoku/>
              <w:wordWrap/>
              <w:overflowPunct/>
              <w:topLinePunct w:val="0"/>
              <w:bidi w:val="0"/>
              <w:adjustRightInd w:val="0"/>
              <w:snapToGrid w:val="0"/>
              <w:spacing w:line="560" w:lineRule="exact"/>
              <w:jc w:val="center"/>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大浪街道城市管家及福布路项目小设备定点维修保养服务采购</w:t>
            </w:r>
          </w:p>
        </w:tc>
        <w:tc>
          <w:tcPr>
            <w:tcW w:w="1939" w:type="dxa"/>
            <w:vAlign w:val="center"/>
          </w:tcPr>
          <w:p w14:paraId="77020CFB">
            <w:pPr>
              <w:keepNext w:val="0"/>
              <w:keepLines w:val="0"/>
              <w:pageBreakBefore w:val="0"/>
              <w:widowControl w:val="0"/>
              <w:kinsoku/>
              <w:wordWrap/>
              <w:overflowPunct/>
              <w:topLinePunct w:val="0"/>
              <w:bidi w:val="0"/>
              <w:adjustRightInd w:val="0"/>
              <w:snapToGrid w:val="0"/>
              <w:spacing w:line="560" w:lineRule="exact"/>
              <w:jc w:val="center"/>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21.8</w:t>
            </w:r>
          </w:p>
        </w:tc>
        <w:tc>
          <w:tcPr>
            <w:tcW w:w="1916" w:type="dxa"/>
            <w:vAlign w:val="center"/>
          </w:tcPr>
          <w:p w14:paraId="188778A7">
            <w:pPr>
              <w:keepNext w:val="0"/>
              <w:keepLines w:val="0"/>
              <w:pageBreakBefore w:val="0"/>
              <w:widowControl w:val="0"/>
              <w:kinsoku/>
              <w:wordWrap/>
              <w:overflowPunct/>
              <w:topLinePunct w:val="0"/>
              <w:bidi w:val="0"/>
              <w:adjustRightInd w:val="0"/>
              <w:snapToGrid w:val="0"/>
              <w:spacing w:line="560" w:lineRule="exact"/>
              <w:jc w:val="center"/>
              <w:textAlignment w:val="auto"/>
              <w:rPr>
                <w:rFonts w:hint="default" w:ascii="仿宋" w:hAnsi="仿宋" w:eastAsia="仿宋" w:cs="仿宋"/>
                <w:kern w:val="2"/>
                <w:sz w:val="28"/>
                <w:szCs w:val="28"/>
                <w:highlight w:val="yellow"/>
                <w:lang w:val="en-US" w:eastAsia="zh-CN" w:bidi="ar-SA"/>
              </w:rPr>
            </w:pPr>
          </w:p>
        </w:tc>
        <w:tc>
          <w:tcPr>
            <w:tcW w:w="2717" w:type="dxa"/>
            <w:vAlign w:val="center"/>
          </w:tcPr>
          <w:p w14:paraId="568B9D3B">
            <w:pPr>
              <w:keepNext w:val="0"/>
              <w:keepLines w:val="0"/>
              <w:pageBreakBefore w:val="0"/>
              <w:widowControl w:val="0"/>
              <w:numPr>
                <w:ilvl w:val="0"/>
                <w:numId w:val="0"/>
              </w:numPr>
              <w:kinsoku/>
              <w:wordWrap/>
              <w:overflowPunct/>
              <w:topLinePunct w:val="0"/>
              <w:bidi w:val="0"/>
              <w:adjustRightInd w:val="0"/>
              <w:snapToGrid w:val="0"/>
              <w:spacing w:line="560" w:lineRule="exact"/>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1.据实结算，结算价不超过合同价。</w:t>
            </w:r>
          </w:p>
          <w:p w14:paraId="4F09213F">
            <w:pPr>
              <w:keepNext w:val="0"/>
              <w:keepLines w:val="0"/>
              <w:pageBreakBefore w:val="0"/>
              <w:widowControl w:val="0"/>
              <w:numPr>
                <w:ilvl w:val="0"/>
                <w:numId w:val="0"/>
              </w:numPr>
              <w:kinsoku/>
              <w:wordWrap/>
              <w:overflowPunct/>
              <w:topLinePunct w:val="0"/>
              <w:bidi w:val="0"/>
              <w:adjustRightInd w:val="0"/>
              <w:snapToGrid w:val="0"/>
              <w:spacing w:line="560" w:lineRule="exact"/>
              <w:jc w:val="both"/>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2.增值税税率</w:t>
            </w:r>
            <w:r>
              <w:rPr>
                <w:rFonts w:hint="eastAsia" w:ascii="仿宋" w:hAnsi="仿宋" w:eastAsia="仿宋" w:cs="仿宋"/>
                <w:b/>
                <w:bCs/>
                <w:kern w:val="2"/>
                <w:sz w:val="28"/>
                <w:szCs w:val="28"/>
                <w:highlight w:val="none"/>
                <w:u w:val="single"/>
                <w:lang w:val="en-US" w:eastAsia="zh-CN" w:bidi="ar-SA"/>
              </w:rPr>
              <w:t xml:space="preserve">   </w:t>
            </w:r>
            <w:r>
              <w:rPr>
                <w:rFonts w:hint="eastAsia" w:ascii="仿宋" w:hAnsi="仿宋" w:eastAsia="仿宋" w:cs="仿宋"/>
                <w:b/>
                <w:bCs/>
                <w:kern w:val="2"/>
                <w:sz w:val="28"/>
                <w:szCs w:val="28"/>
                <w:highlight w:val="none"/>
                <w:lang w:val="en-US" w:eastAsia="zh-CN" w:bidi="ar-SA"/>
              </w:rPr>
              <w:t>%。</w:t>
            </w:r>
          </w:p>
        </w:tc>
      </w:tr>
    </w:tbl>
    <w:p w14:paraId="2FA49E3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备注：</w:t>
      </w:r>
    </w:p>
    <w:p w14:paraId="5618CD1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（1）遴选控制价为21.8万元。总价超出遴选控制价将导致投标无效。</w:t>
      </w:r>
    </w:p>
    <w:p w14:paraId="6273709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（2）如投标人提供的增值税专用发票税率不同时，则以不含增值税报价为最终评标价格（该评标价格仅作为评标时的依据，不能作为中标价格）。</w:t>
      </w:r>
    </w:p>
    <w:p w14:paraId="60F70BC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（3）本项目采用据实结算方式，合同支付上限价格为21.8万元，实际发生维修保养服务金额按附件限价清单中的投标报价（控制价*投标折扣率）为准，结算单价不得高于投标报价。</w:t>
      </w:r>
    </w:p>
    <w:p w14:paraId="6E3492E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（4）附件限价清单未列明维修项，维修单据不得高于市场价。</w:t>
      </w:r>
    </w:p>
    <w:p w14:paraId="25ADDF3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（5）以上报价包括包括人工费、运输费、管理费、税金及其他乙方为履行本合同义务所发生的一切费用。</w:t>
      </w:r>
    </w:p>
    <w:p w14:paraId="4DFC074C">
      <w:pPr>
        <w:rPr>
          <w:rFonts w:hint="eastAsia"/>
          <w:lang w:val="en-US" w:eastAsia="zh-CN"/>
        </w:rPr>
      </w:pPr>
    </w:p>
    <w:p w14:paraId="45333DAD">
      <w:pPr>
        <w:rPr>
          <w:rFonts w:hint="eastAsia"/>
          <w:lang w:val="en-US" w:eastAsia="zh-CN"/>
        </w:rPr>
      </w:pPr>
    </w:p>
    <w:p w14:paraId="6B78617C">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公司名称：</w:t>
      </w:r>
    </w:p>
    <w:p w14:paraId="47475478">
      <w:pPr>
        <w:pStyle w:val="2"/>
        <w:ind w:firstLine="4096" w:firstLineChars="17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日期：</w:t>
      </w:r>
    </w:p>
    <w:p w14:paraId="261E5D7C">
      <w:pPr>
        <w:rPr>
          <w:rFonts w:hint="default" w:ascii="黑体" w:hAnsi="黑体" w:eastAsia="黑体" w:cs="黑体"/>
          <w:sz w:val="32"/>
          <w:szCs w:val="32"/>
          <w:highlight w:val="none"/>
          <w:lang w:val="en-US" w:eastAsia="zh-CN"/>
        </w:rPr>
      </w:pPr>
    </w:p>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YzRhZTFkZDU4N2U2MmMwN2FiNzQxOTkwNTJlNGEifQ=="/>
    <w:docVar w:name="KSO_WPS_MARK_KEY" w:val="0db50913-4cc0-4f5c-a909-c59f76bff19c"/>
  </w:docVars>
  <w:rsids>
    <w:rsidRoot w:val="00000000"/>
    <w:rsid w:val="00382DEE"/>
    <w:rsid w:val="005F5904"/>
    <w:rsid w:val="01747822"/>
    <w:rsid w:val="019C37AB"/>
    <w:rsid w:val="01C04E49"/>
    <w:rsid w:val="01C60A9B"/>
    <w:rsid w:val="01E925F2"/>
    <w:rsid w:val="01E96C2E"/>
    <w:rsid w:val="021C29C7"/>
    <w:rsid w:val="02532161"/>
    <w:rsid w:val="02994018"/>
    <w:rsid w:val="02B16458"/>
    <w:rsid w:val="03376076"/>
    <w:rsid w:val="039B1DA5"/>
    <w:rsid w:val="03E62402"/>
    <w:rsid w:val="04230CF2"/>
    <w:rsid w:val="04BC5C62"/>
    <w:rsid w:val="04C25C35"/>
    <w:rsid w:val="05197D6A"/>
    <w:rsid w:val="054F7546"/>
    <w:rsid w:val="05A47FA4"/>
    <w:rsid w:val="062067FE"/>
    <w:rsid w:val="066204CF"/>
    <w:rsid w:val="06B6300F"/>
    <w:rsid w:val="06F87DF9"/>
    <w:rsid w:val="071F1601"/>
    <w:rsid w:val="07FC0115"/>
    <w:rsid w:val="080A23DF"/>
    <w:rsid w:val="084F5179"/>
    <w:rsid w:val="08914928"/>
    <w:rsid w:val="08B0187A"/>
    <w:rsid w:val="08C85FE2"/>
    <w:rsid w:val="09466565"/>
    <w:rsid w:val="095F4ACD"/>
    <w:rsid w:val="09746E18"/>
    <w:rsid w:val="098A46BA"/>
    <w:rsid w:val="09CD0A4B"/>
    <w:rsid w:val="0A78795E"/>
    <w:rsid w:val="0ABD2EA9"/>
    <w:rsid w:val="0ADA016C"/>
    <w:rsid w:val="0ADB0569"/>
    <w:rsid w:val="0B187AA4"/>
    <w:rsid w:val="0C4B6E38"/>
    <w:rsid w:val="0D525E6F"/>
    <w:rsid w:val="0D5C16DA"/>
    <w:rsid w:val="0D9378B6"/>
    <w:rsid w:val="0D977A6F"/>
    <w:rsid w:val="0D98735D"/>
    <w:rsid w:val="0DC21F49"/>
    <w:rsid w:val="0DDC7061"/>
    <w:rsid w:val="0E3521DC"/>
    <w:rsid w:val="0ED124F9"/>
    <w:rsid w:val="0EF16F8A"/>
    <w:rsid w:val="0F246992"/>
    <w:rsid w:val="0F4117CC"/>
    <w:rsid w:val="0F490B74"/>
    <w:rsid w:val="0F517ACC"/>
    <w:rsid w:val="0FA47B58"/>
    <w:rsid w:val="0FAB4401"/>
    <w:rsid w:val="0FF44753"/>
    <w:rsid w:val="106920B6"/>
    <w:rsid w:val="10DF4023"/>
    <w:rsid w:val="111772D2"/>
    <w:rsid w:val="11E34928"/>
    <w:rsid w:val="12413F80"/>
    <w:rsid w:val="124C454F"/>
    <w:rsid w:val="128F2D41"/>
    <w:rsid w:val="1296148B"/>
    <w:rsid w:val="12B858B8"/>
    <w:rsid w:val="12CB5C1F"/>
    <w:rsid w:val="132732BF"/>
    <w:rsid w:val="138A1E15"/>
    <w:rsid w:val="14197409"/>
    <w:rsid w:val="14553B17"/>
    <w:rsid w:val="147838E2"/>
    <w:rsid w:val="149E726C"/>
    <w:rsid w:val="14A4376A"/>
    <w:rsid w:val="14AB7E78"/>
    <w:rsid w:val="14BD76C0"/>
    <w:rsid w:val="14C33176"/>
    <w:rsid w:val="14C845E9"/>
    <w:rsid w:val="14E23878"/>
    <w:rsid w:val="151E65FF"/>
    <w:rsid w:val="15930421"/>
    <w:rsid w:val="15A07014"/>
    <w:rsid w:val="15DA15E8"/>
    <w:rsid w:val="16240CD3"/>
    <w:rsid w:val="16895690"/>
    <w:rsid w:val="16C04950"/>
    <w:rsid w:val="16C8346F"/>
    <w:rsid w:val="16E315DA"/>
    <w:rsid w:val="16F96496"/>
    <w:rsid w:val="173977AF"/>
    <w:rsid w:val="173C0761"/>
    <w:rsid w:val="178C77D8"/>
    <w:rsid w:val="18075128"/>
    <w:rsid w:val="181C512B"/>
    <w:rsid w:val="184243B2"/>
    <w:rsid w:val="18DB0633"/>
    <w:rsid w:val="18E53FBC"/>
    <w:rsid w:val="195C49A7"/>
    <w:rsid w:val="19913482"/>
    <w:rsid w:val="19E03E83"/>
    <w:rsid w:val="1A30258E"/>
    <w:rsid w:val="1A3F3E57"/>
    <w:rsid w:val="1A935399"/>
    <w:rsid w:val="1ADF05DE"/>
    <w:rsid w:val="1B416BA3"/>
    <w:rsid w:val="1B4C7DFF"/>
    <w:rsid w:val="1B5E59A7"/>
    <w:rsid w:val="1B707E81"/>
    <w:rsid w:val="1BE32AD0"/>
    <w:rsid w:val="1BE449C5"/>
    <w:rsid w:val="1C27223D"/>
    <w:rsid w:val="1C421505"/>
    <w:rsid w:val="1C8C02F2"/>
    <w:rsid w:val="1C9A5DF9"/>
    <w:rsid w:val="1D857414"/>
    <w:rsid w:val="1D9B4C90"/>
    <w:rsid w:val="1DD56B0B"/>
    <w:rsid w:val="1E0850D6"/>
    <w:rsid w:val="1E147EF9"/>
    <w:rsid w:val="1E2F7187"/>
    <w:rsid w:val="1E312007"/>
    <w:rsid w:val="1E407E74"/>
    <w:rsid w:val="1E64416A"/>
    <w:rsid w:val="1F36301B"/>
    <w:rsid w:val="1F3F7776"/>
    <w:rsid w:val="1FB262C1"/>
    <w:rsid w:val="208961A8"/>
    <w:rsid w:val="20BA188B"/>
    <w:rsid w:val="20D0371B"/>
    <w:rsid w:val="20D93DAB"/>
    <w:rsid w:val="20DF6D0A"/>
    <w:rsid w:val="219C0FD7"/>
    <w:rsid w:val="21DC13D3"/>
    <w:rsid w:val="22B509B6"/>
    <w:rsid w:val="22C77C89"/>
    <w:rsid w:val="235B3A3E"/>
    <w:rsid w:val="236A7F48"/>
    <w:rsid w:val="238F4D12"/>
    <w:rsid w:val="244613D7"/>
    <w:rsid w:val="249D1C15"/>
    <w:rsid w:val="24C71BAC"/>
    <w:rsid w:val="258C3110"/>
    <w:rsid w:val="2595615F"/>
    <w:rsid w:val="25D845A8"/>
    <w:rsid w:val="26661BB3"/>
    <w:rsid w:val="266B0F78"/>
    <w:rsid w:val="26831B0B"/>
    <w:rsid w:val="269F14EC"/>
    <w:rsid w:val="26BF30B8"/>
    <w:rsid w:val="27021029"/>
    <w:rsid w:val="27A00569"/>
    <w:rsid w:val="285C14C0"/>
    <w:rsid w:val="28CF4AA8"/>
    <w:rsid w:val="29D3071B"/>
    <w:rsid w:val="29F01EC0"/>
    <w:rsid w:val="2A005659"/>
    <w:rsid w:val="2A1B716F"/>
    <w:rsid w:val="2AA8613A"/>
    <w:rsid w:val="2ACC0017"/>
    <w:rsid w:val="2B3C4050"/>
    <w:rsid w:val="2B3F6D00"/>
    <w:rsid w:val="2B821F14"/>
    <w:rsid w:val="2BF81500"/>
    <w:rsid w:val="2C1218DE"/>
    <w:rsid w:val="2CDB1327"/>
    <w:rsid w:val="2D400215"/>
    <w:rsid w:val="2D84310E"/>
    <w:rsid w:val="2E141EE1"/>
    <w:rsid w:val="2E2312BE"/>
    <w:rsid w:val="2E5A0CB9"/>
    <w:rsid w:val="2E5F5866"/>
    <w:rsid w:val="2E707155"/>
    <w:rsid w:val="2E976A53"/>
    <w:rsid w:val="2F550388"/>
    <w:rsid w:val="2FC15757"/>
    <w:rsid w:val="2FD652C1"/>
    <w:rsid w:val="30297EDA"/>
    <w:rsid w:val="30812984"/>
    <w:rsid w:val="308B35E4"/>
    <w:rsid w:val="309A3ADC"/>
    <w:rsid w:val="30C61BCC"/>
    <w:rsid w:val="30FC77ED"/>
    <w:rsid w:val="31416065"/>
    <w:rsid w:val="3179279B"/>
    <w:rsid w:val="319E7EA7"/>
    <w:rsid w:val="31C0486E"/>
    <w:rsid w:val="31C64A2F"/>
    <w:rsid w:val="32BC3287"/>
    <w:rsid w:val="32BC741A"/>
    <w:rsid w:val="32F32A21"/>
    <w:rsid w:val="336E6684"/>
    <w:rsid w:val="33C76A50"/>
    <w:rsid w:val="33F42D4E"/>
    <w:rsid w:val="34757B91"/>
    <w:rsid w:val="34DC75D1"/>
    <w:rsid w:val="35002E80"/>
    <w:rsid w:val="350C3926"/>
    <w:rsid w:val="350F3F19"/>
    <w:rsid w:val="35577297"/>
    <w:rsid w:val="35762E24"/>
    <w:rsid w:val="359C0B95"/>
    <w:rsid w:val="362A675A"/>
    <w:rsid w:val="36525B04"/>
    <w:rsid w:val="36B443CF"/>
    <w:rsid w:val="36DD4462"/>
    <w:rsid w:val="36E428B0"/>
    <w:rsid w:val="36F56C29"/>
    <w:rsid w:val="372E4027"/>
    <w:rsid w:val="378123A9"/>
    <w:rsid w:val="37AD25EE"/>
    <w:rsid w:val="38134100"/>
    <w:rsid w:val="384F6DEF"/>
    <w:rsid w:val="385545E0"/>
    <w:rsid w:val="389712B7"/>
    <w:rsid w:val="39855C4E"/>
    <w:rsid w:val="39877338"/>
    <w:rsid w:val="39F41558"/>
    <w:rsid w:val="3AA77A24"/>
    <w:rsid w:val="3ABE61D1"/>
    <w:rsid w:val="3B180FBF"/>
    <w:rsid w:val="3B694695"/>
    <w:rsid w:val="3B89663D"/>
    <w:rsid w:val="3C8B16D3"/>
    <w:rsid w:val="3CD94326"/>
    <w:rsid w:val="3CF46EDE"/>
    <w:rsid w:val="3D7A2546"/>
    <w:rsid w:val="3DE6611C"/>
    <w:rsid w:val="3DF053E7"/>
    <w:rsid w:val="3E004AC7"/>
    <w:rsid w:val="3E0D0E3B"/>
    <w:rsid w:val="3E257A27"/>
    <w:rsid w:val="3E291197"/>
    <w:rsid w:val="3E4105E4"/>
    <w:rsid w:val="3E430A34"/>
    <w:rsid w:val="3F1B7587"/>
    <w:rsid w:val="3F4C6CE8"/>
    <w:rsid w:val="3F5551A2"/>
    <w:rsid w:val="3FB377C0"/>
    <w:rsid w:val="40253F3C"/>
    <w:rsid w:val="405C39B3"/>
    <w:rsid w:val="40D83EF0"/>
    <w:rsid w:val="40DC4AF4"/>
    <w:rsid w:val="40E96C63"/>
    <w:rsid w:val="410719BE"/>
    <w:rsid w:val="41267FF3"/>
    <w:rsid w:val="4134460A"/>
    <w:rsid w:val="41A73354"/>
    <w:rsid w:val="421A58D4"/>
    <w:rsid w:val="422B5D33"/>
    <w:rsid w:val="42711AF6"/>
    <w:rsid w:val="42A866EA"/>
    <w:rsid w:val="42BA2C13"/>
    <w:rsid w:val="42BE5A9B"/>
    <w:rsid w:val="42C83D00"/>
    <w:rsid w:val="42EF5206"/>
    <w:rsid w:val="43671945"/>
    <w:rsid w:val="43D4412E"/>
    <w:rsid w:val="43DF5939"/>
    <w:rsid w:val="43F702CB"/>
    <w:rsid w:val="445F7F16"/>
    <w:rsid w:val="44692B43"/>
    <w:rsid w:val="45165603"/>
    <w:rsid w:val="464B4BB4"/>
    <w:rsid w:val="46560A9A"/>
    <w:rsid w:val="465E7D59"/>
    <w:rsid w:val="468C0D6B"/>
    <w:rsid w:val="469C2742"/>
    <w:rsid w:val="472E231C"/>
    <w:rsid w:val="473E37CE"/>
    <w:rsid w:val="475F022D"/>
    <w:rsid w:val="47DE6C76"/>
    <w:rsid w:val="48054931"/>
    <w:rsid w:val="486D19E3"/>
    <w:rsid w:val="48933466"/>
    <w:rsid w:val="48B40105"/>
    <w:rsid w:val="48CC307C"/>
    <w:rsid w:val="48EF67C5"/>
    <w:rsid w:val="48F53A39"/>
    <w:rsid w:val="49071275"/>
    <w:rsid w:val="493A685C"/>
    <w:rsid w:val="49AD1474"/>
    <w:rsid w:val="49E52C6C"/>
    <w:rsid w:val="4A1C41B3"/>
    <w:rsid w:val="4ADA6D2D"/>
    <w:rsid w:val="4B3D0BE3"/>
    <w:rsid w:val="4B496C93"/>
    <w:rsid w:val="4B5A0C2D"/>
    <w:rsid w:val="4B837F21"/>
    <w:rsid w:val="4BDD44AC"/>
    <w:rsid w:val="4C2E4AB4"/>
    <w:rsid w:val="4CA6169E"/>
    <w:rsid w:val="4CD6771E"/>
    <w:rsid w:val="4D096C71"/>
    <w:rsid w:val="4D50664E"/>
    <w:rsid w:val="4DB56DF9"/>
    <w:rsid w:val="4DC332C4"/>
    <w:rsid w:val="4DFD0DB1"/>
    <w:rsid w:val="4E1649CE"/>
    <w:rsid w:val="4E555B7E"/>
    <w:rsid w:val="4E5B4E73"/>
    <w:rsid w:val="4EB255E9"/>
    <w:rsid w:val="4EC217CD"/>
    <w:rsid w:val="4EC820CD"/>
    <w:rsid w:val="4ECA0682"/>
    <w:rsid w:val="4F252466"/>
    <w:rsid w:val="4FA07BB2"/>
    <w:rsid w:val="4FD25A40"/>
    <w:rsid w:val="50B04151"/>
    <w:rsid w:val="50E817D4"/>
    <w:rsid w:val="518C3EDA"/>
    <w:rsid w:val="51D114A3"/>
    <w:rsid w:val="520B0F72"/>
    <w:rsid w:val="52505342"/>
    <w:rsid w:val="528D3EA0"/>
    <w:rsid w:val="52F9307D"/>
    <w:rsid w:val="5300613A"/>
    <w:rsid w:val="53083749"/>
    <w:rsid w:val="53236529"/>
    <w:rsid w:val="533662E6"/>
    <w:rsid w:val="53383B95"/>
    <w:rsid w:val="5373474A"/>
    <w:rsid w:val="53C575F0"/>
    <w:rsid w:val="53F947A4"/>
    <w:rsid w:val="5458228C"/>
    <w:rsid w:val="54753EFC"/>
    <w:rsid w:val="55570796"/>
    <w:rsid w:val="558C48E3"/>
    <w:rsid w:val="567F4E31"/>
    <w:rsid w:val="56B91708"/>
    <w:rsid w:val="571A0E93"/>
    <w:rsid w:val="57527466"/>
    <w:rsid w:val="585461A0"/>
    <w:rsid w:val="58C44394"/>
    <w:rsid w:val="59103135"/>
    <w:rsid w:val="59356580"/>
    <w:rsid w:val="593C7D39"/>
    <w:rsid w:val="5A0B4631"/>
    <w:rsid w:val="5A265C0D"/>
    <w:rsid w:val="5A434DB4"/>
    <w:rsid w:val="5A964900"/>
    <w:rsid w:val="5AB56578"/>
    <w:rsid w:val="5AF34ABD"/>
    <w:rsid w:val="5B27506E"/>
    <w:rsid w:val="5B747CD3"/>
    <w:rsid w:val="5C207B33"/>
    <w:rsid w:val="5C7F7328"/>
    <w:rsid w:val="5CB121AE"/>
    <w:rsid w:val="5CC07FB9"/>
    <w:rsid w:val="5CC36C06"/>
    <w:rsid w:val="5CDC6150"/>
    <w:rsid w:val="5D1E7A43"/>
    <w:rsid w:val="5DD526DF"/>
    <w:rsid w:val="5E25629E"/>
    <w:rsid w:val="5E6A29D3"/>
    <w:rsid w:val="5EA87070"/>
    <w:rsid w:val="5F01496B"/>
    <w:rsid w:val="5F817E72"/>
    <w:rsid w:val="5FB548DE"/>
    <w:rsid w:val="5FDF108A"/>
    <w:rsid w:val="5FEB3DA1"/>
    <w:rsid w:val="60261B77"/>
    <w:rsid w:val="603A003B"/>
    <w:rsid w:val="608749AC"/>
    <w:rsid w:val="608A1A1F"/>
    <w:rsid w:val="60B42F40"/>
    <w:rsid w:val="60F5130F"/>
    <w:rsid w:val="60FB27B1"/>
    <w:rsid w:val="61291238"/>
    <w:rsid w:val="61314591"/>
    <w:rsid w:val="61E82EA1"/>
    <w:rsid w:val="61FB0FB0"/>
    <w:rsid w:val="621217AD"/>
    <w:rsid w:val="625B3673"/>
    <w:rsid w:val="626764BC"/>
    <w:rsid w:val="62DF24F6"/>
    <w:rsid w:val="62E07C1F"/>
    <w:rsid w:val="634E4F7A"/>
    <w:rsid w:val="63AE54D1"/>
    <w:rsid w:val="63B97556"/>
    <w:rsid w:val="63E41C7B"/>
    <w:rsid w:val="640C0830"/>
    <w:rsid w:val="647E7622"/>
    <w:rsid w:val="65515201"/>
    <w:rsid w:val="65CE23AE"/>
    <w:rsid w:val="65EB2D7C"/>
    <w:rsid w:val="662F5033"/>
    <w:rsid w:val="663707F6"/>
    <w:rsid w:val="663743F7"/>
    <w:rsid w:val="666E1938"/>
    <w:rsid w:val="6671494A"/>
    <w:rsid w:val="667C5A21"/>
    <w:rsid w:val="683B7691"/>
    <w:rsid w:val="689C2C37"/>
    <w:rsid w:val="68FC5484"/>
    <w:rsid w:val="694E0453"/>
    <w:rsid w:val="69586B5E"/>
    <w:rsid w:val="697028A5"/>
    <w:rsid w:val="69740DE3"/>
    <w:rsid w:val="69DE332C"/>
    <w:rsid w:val="6A230009"/>
    <w:rsid w:val="6A4454E8"/>
    <w:rsid w:val="6B083E9C"/>
    <w:rsid w:val="6B581098"/>
    <w:rsid w:val="6B6561C1"/>
    <w:rsid w:val="6BC12577"/>
    <w:rsid w:val="6BF45E99"/>
    <w:rsid w:val="6D282CEC"/>
    <w:rsid w:val="6D481D32"/>
    <w:rsid w:val="6DB419F5"/>
    <w:rsid w:val="6DEC1AE6"/>
    <w:rsid w:val="6DFA4688"/>
    <w:rsid w:val="6E881C94"/>
    <w:rsid w:val="6EBB48CA"/>
    <w:rsid w:val="6ECF7B5A"/>
    <w:rsid w:val="6F6B4803"/>
    <w:rsid w:val="6F734622"/>
    <w:rsid w:val="705C42B5"/>
    <w:rsid w:val="70A1703D"/>
    <w:rsid w:val="70EA114F"/>
    <w:rsid w:val="7152589B"/>
    <w:rsid w:val="71DF7078"/>
    <w:rsid w:val="71FD592B"/>
    <w:rsid w:val="72CE7E91"/>
    <w:rsid w:val="72D43F1C"/>
    <w:rsid w:val="72D55184"/>
    <w:rsid w:val="72E9674E"/>
    <w:rsid w:val="737547B1"/>
    <w:rsid w:val="73FC77D8"/>
    <w:rsid w:val="74441AE5"/>
    <w:rsid w:val="747C0E6D"/>
    <w:rsid w:val="74E874F4"/>
    <w:rsid w:val="754C36EB"/>
    <w:rsid w:val="75EC4704"/>
    <w:rsid w:val="75EF084A"/>
    <w:rsid w:val="75F72A95"/>
    <w:rsid w:val="76155FDD"/>
    <w:rsid w:val="762D5973"/>
    <w:rsid w:val="7677439C"/>
    <w:rsid w:val="768F5B89"/>
    <w:rsid w:val="76C42481"/>
    <w:rsid w:val="76C649F0"/>
    <w:rsid w:val="774E334F"/>
    <w:rsid w:val="77F34477"/>
    <w:rsid w:val="783B62CA"/>
    <w:rsid w:val="787E073F"/>
    <w:rsid w:val="7895480B"/>
    <w:rsid w:val="78EB6DBB"/>
    <w:rsid w:val="791D779D"/>
    <w:rsid w:val="7A1B4481"/>
    <w:rsid w:val="7A3251AA"/>
    <w:rsid w:val="7ADF79D6"/>
    <w:rsid w:val="7B074386"/>
    <w:rsid w:val="7B711D02"/>
    <w:rsid w:val="7BD24E35"/>
    <w:rsid w:val="7BFF10BB"/>
    <w:rsid w:val="7C016BE2"/>
    <w:rsid w:val="7C0B5CB2"/>
    <w:rsid w:val="7C2C2059"/>
    <w:rsid w:val="7CE02C9B"/>
    <w:rsid w:val="7CE424E0"/>
    <w:rsid w:val="7CE617A9"/>
    <w:rsid w:val="7D553689"/>
    <w:rsid w:val="7D711531"/>
    <w:rsid w:val="7DC6323C"/>
    <w:rsid w:val="7E7C7B14"/>
    <w:rsid w:val="7F92562D"/>
    <w:rsid w:val="7FA0140D"/>
    <w:rsid w:val="7FF25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b/>
      <w:bCs/>
      <w:sz w:val="24"/>
    </w:rPr>
  </w:style>
  <w:style w:type="paragraph" w:styleId="4">
    <w:name w:val="index 8"/>
    <w:basedOn w:val="1"/>
    <w:next w:val="1"/>
    <w:semiHidden/>
    <w:unhideWhenUsed/>
    <w:qFormat/>
    <w:uiPriority w:val="0"/>
    <w:pPr>
      <w:ind w:left="1400" w:leftChars="1400"/>
    </w:pPr>
  </w:style>
  <w:style w:type="paragraph" w:styleId="5">
    <w:name w:val="annotation text"/>
    <w:basedOn w:val="1"/>
    <w:unhideWhenUsed/>
    <w:qFormat/>
    <w:uiPriority w:val="0"/>
  </w:style>
  <w:style w:type="paragraph" w:styleId="6">
    <w:name w:val="Body Text Indent"/>
    <w:basedOn w:val="1"/>
    <w:qFormat/>
    <w:uiPriority w:val="0"/>
    <w:pPr>
      <w:tabs>
        <w:tab w:val="left" w:pos="0"/>
      </w:tabs>
      <w:spacing w:line="420" w:lineRule="exact"/>
      <w:ind w:firstLine="525"/>
    </w:pPr>
    <w:rPr>
      <w:rFonts w:ascii="仿宋_GB2312" w:hAnsi="Times New Roman" w:eastAsia="仿宋_GB2312"/>
      <w:sz w:val="28"/>
      <w:szCs w:val="20"/>
    </w:rPr>
  </w:style>
  <w:style w:type="paragraph" w:styleId="7">
    <w:name w:val="Plain Text"/>
    <w:basedOn w:val="1"/>
    <w:unhideWhenUsed/>
    <w:qFormat/>
    <w:uiPriority w:val="0"/>
    <w:rPr>
      <w:rFonts w:ascii="宋体" w:hAnsi="Courier New" w:eastAsiaTheme="minorEastAsia" w:cstheme="minorBidi"/>
      <w:szCs w:val="21"/>
    </w:rPr>
  </w:style>
  <w:style w:type="paragraph" w:styleId="8">
    <w:name w:val="Balloon Text"/>
    <w:basedOn w:val="1"/>
    <w:semiHidden/>
    <w:qFormat/>
    <w:uiPriority w:val="99"/>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Body Text 2"/>
    <w:basedOn w:val="1"/>
    <w:qFormat/>
    <w:uiPriority w:val="0"/>
    <w:pPr>
      <w:spacing w:line="360" w:lineRule="auto"/>
    </w:pPr>
    <w:rPr>
      <w:sz w:val="24"/>
    </w:rPr>
  </w:style>
  <w:style w:type="paragraph" w:styleId="11">
    <w:name w:val="Normal (Web)"/>
    <w:basedOn w:val="1"/>
    <w:qFormat/>
    <w:uiPriority w:val="0"/>
    <w:pPr>
      <w:jc w:val="left"/>
    </w:pPr>
    <w:rPr>
      <w:rFonts w:ascii="Times New Roman" w:hAnsi="Times New Roman"/>
      <w:kern w:val="0"/>
      <w:sz w:val="24"/>
      <w:szCs w:val="20"/>
    </w:rPr>
  </w:style>
  <w:style w:type="paragraph" w:styleId="12">
    <w:name w:val="Body Text First Indent 2"/>
    <w:basedOn w:val="6"/>
    <w:qFormat/>
    <w:uiPriority w:val="0"/>
    <w:pPr>
      <w:spacing w:line="240" w:lineRule="auto"/>
      <w:ind w:left="420" w:leftChars="200" w:firstLine="420" w:firstLineChars="200"/>
    </w:pPr>
    <w:rPr>
      <w:sz w:val="21"/>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文字"/>
    <w:basedOn w:val="1"/>
    <w:next w:val="2"/>
    <w:qFormat/>
    <w:uiPriority w:val="0"/>
    <w:pPr>
      <w:adjustRightInd w:val="0"/>
      <w:spacing w:line="420" w:lineRule="atLeast"/>
      <w:jc w:val="left"/>
      <w:textAlignment w:val="baseline"/>
    </w:pPr>
    <w:rPr>
      <w:kern w:val="0"/>
      <w:szCs w:val="20"/>
    </w:rPr>
  </w:style>
  <w:style w:type="paragraph" w:styleId="17">
    <w:name w:val="List Paragraph"/>
    <w:basedOn w:val="1"/>
    <w:qFormat/>
    <w:uiPriority w:val="99"/>
    <w:pPr>
      <w:ind w:firstLine="420" w:firstLineChars="200"/>
    </w:pPr>
  </w:style>
  <w:style w:type="paragraph" w:customStyle="1" w:styleId="18">
    <w:name w:val="样式 左侧:  0 厘米 悬挂缩进: 2.5 字符"/>
    <w:basedOn w:val="1"/>
    <w:qFormat/>
    <w:uiPriority w:val="0"/>
    <w:pPr>
      <w:ind w:left="525" w:hanging="525" w:hangingChars="250"/>
    </w:pPr>
  </w:style>
  <w:style w:type="paragraph" w:customStyle="1" w:styleId="19">
    <w:name w:val="列出段落1"/>
    <w:basedOn w:val="1"/>
    <w:qFormat/>
    <w:uiPriority w:val="34"/>
    <w:pPr>
      <w:ind w:firstLine="420" w:firstLineChars="200"/>
    </w:pPr>
  </w:style>
  <w:style w:type="character" w:customStyle="1" w:styleId="20">
    <w:name w:val="font111"/>
    <w:basedOn w:val="15"/>
    <w:qFormat/>
    <w:uiPriority w:val="0"/>
    <w:rPr>
      <w:rFonts w:ascii="宋体" w:hAnsi="宋体" w:eastAsia="宋体" w:cs="宋体"/>
      <w:b/>
      <w:bCs/>
      <w:color w:val="000000"/>
      <w:sz w:val="22"/>
      <w:szCs w:val="22"/>
      <w:u w:val="none"/>
    </w:rPr>
  </w:style>
  <w:style w:type="character" w:customStyle="1" w:styleId="21">
    <w:name w:val="font131"/>
    <w:basedOn w:val="15"/>
    <w:qFormat/>
    <w:uiPriority w:val="0"/>
    <w:rPr>
      <w:rFonts w:ascii="黑体" w:hAnsi="宋体" w:eastAsia="黑体" w:cs="黑体"/>
      <w:b/>
      <w:bCs/>
      <w:color w:val="000000"/>
      <w:sz w:val="22"/>
      <w:szCs w:val="22"/>
      <w:u w:val="none"/>
    </w:rPr>
  </w:style>
  <w:style w:type="character" w:customStyle="1" w:styleId="22">
    <w:name w:val="font151"/>
    <w:basedOn w:val="15"/>
    <w:qFormat/>
    <w:uiPriority w:val="0"/>
    <w:rPr>
      <w:rFonts w:ascii="宋体" w:hAnsi="宋体" w:eastAsia="宋体" w:cs="宋体"/>
      <w:b/>
      <w:bCs/>
      <w:color w:val="000000"/>
      <w:sz w:val="30"/>
      <w:szCs w:val="30"/>
      <w:u w:val="none"/>
    </w:rPr>
  </w:style>
  <w:style w:type="character" w:customStyle="1" w:styleId="23">
    <w:name w:val="font71"/>
    <w:basedOn w:val="15"/>
    <w:qFormat/>
    <w:uiPriority w:val="0"/>
    <w:rPr>
      <w:rFonts w:ascii="宋体" w:hAnsi="宋体" w:eastAsia="宋体" w:cs="宋体"/>
      <w:color w:val="000000"/>
      <w:sz w:val="22"/>
      <w:szCs w:val="22"/>
      <w:u w:val="none"/>
    </w:rPr>
  </w:style>
  <w:style w:type="character" w:customStyle="1" w:styleId="24">
    <w:name w:val="font121"/>
    <w:basedOn w:val="15"/>
    <w:qFormat/>
    <w:uiPriority w:val="0"/>
    <w:rPr>
      <w:rFonts w:ascii="宋体" w:hAnsi="宋体" w:eastAsia="宋体" w:cs="宋体"/>
      <w:color w:val="000000"/>
      <w:sz w:val="22"/>
      <w:szCs w:val="22"/>
      <w:u w:val="none"/>
    </w:rPr>
  </w:style>
  <w:style w:type="paragraph" w:customStyle="1" w:styleId="25">
    <w:name w:val="Table Paragraph"/>
    <w:basedOn w:val="1"/>
    <w:qFormat/>
    <w:uiPriority w:val="1"/>
    <w:pPr>
      <w:jc w:val="left"/>
    </w:pPr>
    <w:rPr>
      <w:rFonts w:ascii="Calibri" w:hAnsi="Calibri"/>
      <w:kern w:val="0"/>
      <w:sz w:val="22"/>
      <w:szCs w:val="22"/>
      <w:lang w:eastAsia="en-US"/>
    </w:rPr>
  </w:style>
  <w:style w:type="paragraph" w:customStyle="1" w:styleId="26">
    <w:name w:val="null3"/>
    <w:qFormat/>
    <w:uiPriority w:val="0"/>
    <w:rPr>
      <w:rFonts w:hint="eastAsia" w:ascii="Calibri" w:hAnsi="Calibri" w:eastAsia="宋体" w:cs="Times New Roman"/>
      <w:lang w:val="en-US" w:eastAsia="zh-Hans"/>
    </w:rPr>
  </w:style>
  <w:style w:type="character" w:customStyle="1" w:styleId="27">
    <w:name w:val="font21"/>
    <w:basedOn w:val="15"/>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4356</Words>
  <Characters>4533</Characters>
  <Lines>0</Lines>
  <Paragraphs>0</Paragraphs>
  <TotalTime>5</TotalTime>
  <ScaleCrop>false</ScaleCrop>
  <LinksUpToDate>false</LinksUpToDate>
  <CharactersWithSpaces>4597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2022-12-14T02:12:00Z</dcterms:created>
  <dc:creator>Administrator</dc:creator>
  <cp:lastModifiedBy>WPS_1756952891</cp:lastModifiedBy>
  <cp:lastPrinted>2025-11-27T06:12:00Z</cp:lastPrinted>
  <dcterms:modified xsi:type="dcterms:W3CDTF">2026-03-26T08:03:58Z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5594BEEFC33C407E8D6631D0BCB0F28C</vt:lpwstr>
  </property>
  <property fmtid="{D5CDD505-2E9C-101B-9397-08002B2CF9AE}" pid="4" name="KSOTemplateDocerSaveRecord">
    <vt:lpwstr>eyJoZGlkIjoiZWE3ZjBjMTQ1OTFhYWMyZWIwNzI2ZmRiYzg1YWM3MzkiLCJ1c2VySWQiOiIxNzM3NTg4NjA5In0=</vt:lpwstr>
  </property>
</Properties>
</file>