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94D743">
      <w:pPr>
        <w:rPr>
          <w:rFonts w:hint="eastAsia"/>
        </w:rPr>
      </w:pPr>
    </w:p>
    <w:p w14:paraId="601319ED">
      <w:pPr>
        <w:rPr>
          <w:rFonts w:hint="eastAsia"/>
        </w:rPr>
      </w:pPr>
    </w:p>
    <w:p w14:paraId="57D68B36">
      <w:pPr>
        <w:rPr>
          <w:rFonts w:hint="eastAsia"/>
        </w:rPr>
      </w:pPr>
    </w:p>
    <w:tbl>
      <w:tblPr>
        <w:tblStyle w:val="80"/>
        <w:tblW w:w="0" w:type="auto"/>
        <w:jc w:val="center"/>
        <w:tblLayout w:type="autofit"/>
        <w:tblCellMar>
          <w:top w:w="0" w:type="dxa"/>
          <w:left w:w="108" w:type="dxa"/>
          <w:bottom w:w="0" w:type="dxa"/>
          <w:right w:w="108" w:type="dxa"/>
        </w:tblCellMar>
      </w:tblPr>
      <w:tblGrid>
        <w:gridCol w:w="8522"/>
      </w:tblGrid>
      <w:tr w14:paraId="223DFFE3">
        <w:tblPrEx>
          <w:tblCellMar>
            <w:top w:w="0" w:type="dxa"/>
            <w:left w:w="108" w:type="dxa"/>
            <w:bottom w:w="0" w:type="dxa"/>
            <w:right w:w="108" w:type="dxa"/>
          </w:tblCellMar>
        </w:tblPrEx>
        <w:trPr>
          <w:cantSplit/>
          <w:trHeight w:val="1930" w:hRule="exact"/>
          <w:jc w:val="center"/>
        </w:trPr>
        <w:tc>
          <w:tcPr>
            <w:tcW w:w="8522" w:type="dxa"/>
            <w:vAlign w:val="center"/>
          </w:tcPr>
          <w:p w14:paraId="5CA788F5">
            <w:pPr>
              <w:autoSpaceDE w:val="0"/>
              <w:autoSpaceDN w:val="0"/>
              <w:adjustRightInd w:val="0"/>
              <w:snapToGrid w:val="0"/>
              <w:spacing w:line="560" w:lineRule="exact"/>
              <w:jc w:val="center"/>
              <w:rPr>
                <w:rFonts w:hint="eastAsia" w:ascii="宋体" w:hAnsi="宋体" w:eastAsia="宋体" w:cs="Times New Roman"/>
                <w:bCs/>
                <w:sz w:val="44"/>
                <w:szCs w:val="44"/>
              </w:rPr>
            </w:pPr>
            <w:r>
              <w:rPr>
                <w:rFonts w:hint="eastAsia" w:ascii="宋体" w:hAnsi="宋体" w:eastAsia="宋体" w:cs="宋体"/>
                <w:b/>
                <w:kern w:val="0"/>
                <w:sz w:val="44"/>
                <w:szCs w:val="44"/>
                <w:lang w:eastAsia="zh-CN"/>
              </w:rPr>
              <w:t>A932-0868宗地项目</w:t>
            </w:r>
            <w:r>
              <w:rPr>
                <w:rFonts w:hint="eastAsia" w:ascii="宋体" w:hAnsi="宋体" w:eastAsia="宋体" w:cs="宋体"/>
                <w:b/>
                <w:kern w:val="0"/>
                <w:sz w:val="44"/>
                <w:szCs w:val="44"/>
              </w:rPr>
              <w:t>（设计咨询）</w:t>
            </w:r>
          </w:p>
        </w:tc>
      </w:tr>
      <w:tr w14:paraId="58374830">
        <w:tblPrEx>
          <w:tblCellMar>
            <w:top w:w="0" w:type="dxa"/>
            <w:left w:w="108" w:type="dxa"/>
            <w:bottom w:w="0" w:type="dxa"/>
            <w:right w:w="108" w:type="dxa"/>
          </w:tblCellMar>
        </w:tblPrEx>
        <w:trPr>
          <w:trHeight w:val="850" w:hRule="exact"/>
          <w:jc w:val="center"/>
        </w:trPr>
        <w:tc>
          <w:tcPr>
            <w:tcW w:w="8522" w:type="dxa"/>
            <w:vAlign w:val="center"/>
          </w:tcPr>
          <w:p w14:paraId="3F8E7BFC">
            <w:pPr>
              <w:jc w:val="center"/>
              <w:rPr>
                <w:rFonts w:hint="eastAsia" w:ascii="宋体" w:hAnsi="宋体" w:eastAsia="宋体" w:cs="Times New Roman"/>
                <w:bCs/>
                <w:sz w:val="44"/>
                <w:szCs w:val="44"/>
              </w:rPr>
            </w:pPr>
            <w:r>
              <w:rPr>
                <w:rFonts w:hint="eastAsia" w:ascii="宋体" w:hAnsi="宋体" w:eastAsia="宋体" w:cs="Times New Roman"/>
                <w:bCs/>
                <w:sz w:val="44"/>
                <w:szCs w:val="44"/>
              </w:rPr>
              <w:t>设计咨询服务合同</w:t>
            </w:r>
          </w:p>
        </w:tc>
      </w:tr>
      <w:tr w14:paraId="23D6862E">
        <w:tblPrEx>
          <w:tblCellMar>
            <w:top w:w="0" w:type="dxa"/>
            <w:left w:w="108" w:type="dxa"/>
            <w:bottom w:w="0" w:type="dxa"/>
            <w:right w:w="108" w:type="dxa"/>
          </w:tblCellMar>
        </w:tblPrEx>
        <w:trPr>
          <w:trHeight w:val="850" w:hRule="exact"/>
          <w:jc w:val="center"/>
        </w:trPr>
        <w:tc>
          <w:tcPr>
            <w:tcW w:w="8522" w:type="dxa"/>
            <w:vAlign w:val="center"/>
          </w:tcPr>
          <w:p w14:paraId="5BD94AE1">
            <w:pPr>
              <w:spacing w:line="480" w:lineRule="auto"/>
              <w:jc w:val="center"/>
              <w:outlineLvl w:val="0"/>
              <w:rPr>
                <w:rFonts w:hint="eastAsia" w:ascii="宋体" w:hAnsi="宋体" w:eastAsia="宋体"/>
                <w:sz w:val="24"/>
                <w:szCs w:val="24"/>
              </w:rPr>
            </w:pPr>
          </w:p>
          <w:p w14:paraId="3A1A73BA">
            <w:pPr>
              <w:autoSpaceDE w:val="0"/>
              <w:autoSpaceDN w:val="0"/>
              <w:adjustRightInd w:val="0"/>
              <w:ind w:firstLine="880" w:firstLineChars="200"/>
              <w:jc w:val="center"/>
              <w:textAlignment w:val="baseline"/>
              <w:outlineLvl w:val="0"/>
              <w:rPr>
                <w:rFonts w:hint="eastAsia" w:ascii="宋体" w:hAnsi="宋体" w:eastAsia="宋体"/>
                <w:bCs/>
                <w:sz w:val="44"/>
                <w:szCs w:val="44"/>
              </w:rPr>
            </w:pPr>
          </w:p>
        </w:tc>
      </w:tr>
      <w:tr w14:paraId="5E2EE56A">
        <w:tblPrEx>
          <w:tblCellMar>
            <w:top w:w="0" w:type="dxa"/>
            <w:left w:w="108" w:type="dxa"/>
            <w:bottom w:w="0" w:type="dxa"/>
            <w:right w:w="108" w:type="dxa"/>
          </w:tblCellMar>
        </w:tblPrEx>
        <w:trPr>
          <w:trHeight w:val="3356" w:hRule="atLeast"/>
          <w:jc w:val="center"/>
        </w:trPr>
        <w:tc>
          <w:tcPr>
            <w:tcW w:w="8522" w:type="dxa"/>
            <w:vAlign w:val="center"/>
          </w:tcPr>
          <w:p w14:paraId="77E663DB">
            <w:pPr>
              <w:spacing w:line="480" w:lineRule="auto"/>
              <w:jc w:val="center"/>
              <w:rPr>
                <w:rFonts w:hint="eastAsia" w:ascii="宋体" w:hAnsi="宋体" w:eastAsia="宋体"/>
                <w:b/>
                <w:sz w:val="30"/>
                <w:szCs w:val="30"/>
                <w:lang w:eastAsia="zh-CN"/>
              </w:rPr>
            </w:pPr>
            <w:r>
              <w:rPr>
                <w:rFonts w:hint="eastAsia" w:ascii="宋体" w:hAnsi="宋体" w:eastAsia="宋体"/>
                <w:b/>
                <w:sz w:val="30"/>
                <w:szCs w:val="30"/>
              </w:rPr>
              <w:t>合同编号：</w:t>
            </w:r>
            <w:r>
              <w:rPr>
                <w:rFonts w:hint="eastAsia" w:ascii="宋体" w:hAnsi="宋体" w:eastAsia="宋体"/>
                <w:b/>
                <w:sz w:val="30"/>
                <w:szCs w:val="30"/>
                <w:lang w:val="en-US" w:eastAsia="zh-CN"/>
              </w:rPr>
              <w:t xml:space="preserve"> </w:t>
            </w:r>
          </w:p>
          <w:p w14:paraId="5C91BDE5">
            <w:pPr>
              <w:spacing w:line="360" w:lineRule="auto"/>
              <w:jc w:val="center"/>
              <w:outlineLvl w:val="0"/>
              <w:rPr>
                <w:rFonts w:hint="eastAsia" w:ascii="宋体" w:hAnsi="宋体" w:eastAsia="宋体"/>
                <w:bCs/>
                <w:sz w:val="28"/>
                <w:szCs w:val="28"/>
              </w:rPr>
            </w:pPr>
          </w:p>
        </w:tc>
      </w:tr>
      <w:tr w14:paraId="24EAE5CA">
        <w:tblPrEx>
          <w:tblCellMar>
            <w:top w:w="0" w:type="dxa"/>
            <w:left w:w="108" w:type="dxa"/>
            <w:bottom w:w="0" w:type="dxa"/>
            <w:right w:w="108" w:type="dxa"/>
          </w:tblCellMar>
        </w:tblPrEx>
        <w:trPr>
          <w:trHeight w:val="1225" w:hRule="exact"/>
          <w:jc w:val="center"/>
        </w:trPr>
        <w:tc>
          <w:tcPr>
            <w:tcW w:w="8522" w:type="dxa"/>
            <w:vAlign w:val="center"/>
          </w:tcPr>
          <w:p w14:paraId="4823EA93">
            <w:pPr>
              <w:spacing w:line="360" w:lineRule="auto"/>
              <w:ind w:left="418" w:leftChars="195" w:hanging="9" w:hangingChars="3"/>
              <w:jc w:val="left"/>
              <w:rPr>
                <w:rFonts w:hint="eastAsia" w:ascii="宋体" w:hAnsi="宋体" w:eastAsia="宋体" w:cs="Times New Roman"/>
                <w:sz w:val="30"/>
                <w:szCs w:val="30"/>
              </w:rPr>
            </w:pPr>
            <w:r>
              <w:rPr>
                <w:rFonts w:hint="eastAsia" w:ascii="宋体" w:hAnsi="宋体" w:eastAsia="宋体" w:cs="Times New Roman"/>
                <w:sz w:val="30"/>
                <w:szCs w:val="30"/>
              </w:rPr>
              <w:t>工程名称：</w:t>
            </w:r>
            <w:r>
              <w:rPr>
                <w:rFonts w:hint="eastAsia" w:ascii="宋体" w:hAnsi="宋体" w:eastAsia="宋体" w:cs="Times New Roman"/>
                <w:sz w:val="30"/>
                <w:szCs w:val="30"/>
                <w:u w:val="single"/>
                <w:lang w:eastAsia="zh-CN"/>
              </w:rPr>
              <w:t>A932-0868宗地项目</w:t>
            </w:r>
            <w:r>
              <w:rPr>
                <w:rFonts w:hint="eastAsia" w:ascii="宋体" w:hAnsi="宋体" w:eastAsia="宋体" w:cs="Times New Roman"/>
                <w:sz w:val="30"/>
                <w:szCs w:val="30"/>
                <w:u w:val="single"/>
              </w:rPr>
              <w:t>（设计咨询）</w:t>
            </w:r>
          </w:p>
        </w:tc>
      </w:tr>
      <w:tr w14:paraId="22A1CED7">
        <w:tblPrEx>
          <w:tblCellMar>
            <w:top w:w="0" w:type="dxa"/>
            <w:left w:w="108" w:type="dxa"/>
            <w:bottom w:w="0" w:type="dxa"/>
            <w:right w:w="108" w:type="dxa"/>
          </w:tblCellMar>
        </w:tblPrEx>
        <w:trPr>
          <w:trHeight w:val="942" w:hRule="exact"/>
          <w:jc w:val="center"/>
        </w:trPr>
        <w:tc>
          <w:tcPr>
            <w:tcW w:w="8522" w:type="dxa"/>
            <w:vAlign w:val="center"/>
          </w:tcPr>
          <w:p w14:paraId="627E4ECC">
            <w:pPr>
              <w:spacing w:line="720" w:lineRule="auto"/>
              <w:ind w:left="126" w:leftChars="60" w:firstLine="300" w:firstLineChars="100"/>
              <w:rPr>
                <w:rFonts w:hint="eastAsia" w:ascii="宋体" w:hAnsi="宋体" w:eastAsia="宋体" w:cs="Times New Roman"/>
                <w:sz w:val="30"/>
                <w:szCs w:val="30"/>
              </w:rPr>
            </w:pPr>
            <w:r>
              <w:rPr>
                <w:rFonts w:hint="eastAsia" w:ascii="宋体" w:hAnsi="宋体" w:eastAsia="宋体" w:cs="Times New Roman"/>
                <w:sz w:val="30"/>
                <w:szCs w:val="30"/>
              </w:rPr>
              <w:t>委托人（全称）：</w:t>
            </w:r>
            <w:r>
              <w:rPr>
                <w:rFonts w:hint="eastAsia" w:ascii="宋体" w:hAnsi="宋体" w:eastAsia="宋体" w:cs="Times New Roman"/>
                <w:sz w:val="30"/>
                <w:szCs w:val="30"/>
                <w:u w:val="single"/>
                <w:lang w:eastAsia="zh-CN"/>
              </w:rPr>
              <w:t>深圳市龙华高新技术产业园区开发投资有限</w:t>
            </w:r>
            <w:r>
              <w:rPr>
                <w:rFonts w:hint="eastAsia" w:ascii="宋体" w:hAnsi="宋体" w:eastAsia="宋体" w:cs="Times New Roman"/>
                <w:sz w:val="30"/>
                <w:szCs w:val="30"/>
                <w:u w:val="single"/>
              </w:rPr>
              <w:t>公司</w:t>
            </w:r>
          </w:p>
        </w:tc>
      </w:tr>
      <w:tr w14:paraId="596AC039">
        <w:tblPrEx>
          <w:tblCellMar>
            <w:top w:w="0" w:type="dxa"/>
            <w:left w:w="108" w:type="dxa"/>
            <w:bottom w:w="0" w:type="dxa"/>
            <w:right w:w="108" w:type="dxa"/>
          </w:tblCellMar>
        </w:tblPrEx>
        <w:trPr>
          <w:trHeight w:val="1072" w:hRule="exact"/>
          <w:jc w:val="center"/>
        </w:trPr>
        <w:tc>
          <w:tcPr>
            <w:tcW w:w="8522" w:type="dxa"/>
            <w:vAlign w:val="center"/>
          </w:tcPr>
          <w:p w14:paraId="3488C2B5">
            <w:pPr>
              <w:spacing w:line="720" w:lineRule="auto"/>
              <w:ind w:left="407" w:leftChars="194"/>
              <w:rPr>
                <w:rFonts w:hint="eastAsia" w:ascii="宋体" w:hAnsi="宋体" w:eastAsia="宋体" w:cs="Times New Roman"/>
                <w:sz w:val="30"/>
                <w:szCs w:val="30"/>
                <w:u w:val="single"/>
              </w:rPr>
            </w:pPr>
            <w:r>
              <w:rPr>
                <w:rFonts w:hint="eastAsia" w:ascii="宋体" w:hAnsi="宋体" w:eastAsia="宋体" w:cs="Times New Roman"/>
                <w:sz w:val="30"/>
                <w:szCs w:val="30"/>
              </w:rPr>
              <w:t>受托人</w:t>
            </w:r>
            <w:r>
              <w:rPr>
                <w:rFonts w:hint="eastAsia" w:ascii="宋体" w:hAnsi="宋体" w:eastAsia="宋体"/>
                <w:sz w:val="30"/>
                <w:szCs w:val="30"/>
              </w:rPr>
              <w:t>（全称）</w:t>
            </w:r>
            <w:r>
              <w:rPr>
                <w:rFonts w:hint="eastAsia" w:ascii="宋体" w:hAnsi="宋体" w:eastAsia="宋体" w:cs="Times New Roman"/>
                <w:sz w:val="30"/>
                <w:szCs w:val="30"/>
              </w:rPr>
              <w:t>：</w:t>
            </w:r>
            <w:bookmarkStart w:id="0" w:name="_Hlk206408305"/>
            <w:r>
              <w:rPr>
                <w:rFonts w:hint="eastAsia" w:ascii="宋体" w:hAnsi="宋体" w:eastAsia="宋体" w:cs="Times New Roman"/>
                <w:sz w:val="30"/>
                <w:szCs w:val="30"/>
                <w:u w:val="single"/>
                <w:lang w:eastAsia="zh-CN"/>
              </w:rPr>
              <w:t>XXXX</w:t>
            </w:r>
            <w:r>
              <w:rPr>
                <w:rFonts w:hint="eastAsia" w:ascii="宋体" w:hAnsi="宋体" w:eastAsia="宋体" w:cs="Times New Roman"/>
                <w:sz w:val="30"/>
                <w:szCs w:val="30"/>
                <w:u w:val="single"/>
              </w:rPr>
              <w:t>公司</w:t>
            </w:r>
            <w:bookmarkEnd w:id="0"/>
          </w:p>
          <w:p w14:paraId="7DA260DB">
            <w:pPr>
              <w:tabs>
                <w:tab w:val="left" w:pos="2040"/>
              </w:tabs>
              <w:autoSpaceDE w:val="0"/>
              <w:autoSpaceDN w:val="0"/>
              <w:adjustRightInd w:val="0"/>
              <w:spacing w:before="240" w:after="240"/>
              <w:ind w:left="720" w:firstLine="1500" w:firstLineChars="500"/>
              <w:jc w:val="center"/>
              <w:textAlignment w:val="baseline"/>
              <w:outlineLvl w:val="2"/>
              <w:rPr>
                <w:rFonts w:hint="eastAsia" w:ascii="宋体" w:hAnsi="宋体" w:eastAsia="宋体" w:cs="黑体"/>
                <w:sz w:val="30"/>
                <w:szCs w:val="30"/>
              </w:rPr>
            </w:pPr>
          </w:p>
        </w:tc>
      </w:tr>
      <w:tr w14:paraId="6269EAE0">
        <w:tblPrEx>
          <w:tblCellMar>
            <w:top w:w="0" w:type="dxa"/>
            <w:left w:w="108" w:type="dxa"/>
            <w:bottom w:w="0" w:type="dxa"/>
            <w:right w:w="108" w:type="dxa"/>
          </w:tblCellMar>
        </w:tblPrEx>
        <w:trPr>
          <w:trHeight w:val="850" w:hRule="exact"/>
          <w:jc w:val="center"/>
        </w:trPr>
        <w:tc>
          <w:tcPr>
            <w:tcW w:w="8522" w:type="dxa"/>
            <w:vAlign w:val="center"/>
          </w:tcPr>
          <w:p w14:paraId="6F5D1E8D">
            <w:pPr>
              <w:autoSpaceDE w:val="0"/>
              <w:autoSpaceDN w:val="0"/>
              <w:adjustRightInd w:val="0"/>
              <w:ind w:firstLine="1500" w:firstLineChars="500"/>
              <w:jc w:val="left"/>
              <w:textAlignment w:val="baseline"/>
              <w:rPr>
                <w:rFonts w:hint="eastAsia" w:ascii="宋体" w:hAnsi="宋体" w:eastAsia="宋体" w:cs="黑体"/>
                <w:sz w:val="30"/>
                <w:szCs w:val="30"/>
              </w:rPr>
            </w:pPr>
            <w:r>
              <w:rPr>
                <w:rFonts w:hint="eastAsia" w:ascii="宋体" w:hAnsi="宋体" w:eastAsia="宋体" w:cs="黑体"/>
                <w:sz w:val="30"/>
                <w:szCs w:val="30"/>
              </w:rPr>
              <w:t>签订日期：202</w:t>
            </w:r>
            <w:r>
              <w:rPr>
                <w:rFonts w:hint="eastAsia" w:ascii="宋体" w:hAnsi="宋体" w:eastAsia="宋体" w:cs="黑体"/>
                <w:sz w:val="30"/>
                <w:szCs w:val="30"/>
                <w:lang w:val="en-US" w:eastAsia="zh-CN"/>
              </w:rPr>
              <w:t>6</w:t>
            </w:r>
            <w:r>
              <w:rPr>
                <w:rFonts w:hint="eastAsia" w:ascii="宋体" w:hAnsi="宋体" w:eastAsia="宋体" w:cs="黑体"/>
                <w:sz w:val="30"/>
                <w:szCs w:val="30"/>
              </w:rPr>
              <w:t xml:space="preserve">年 </w:t>
            </w:r>
            <w:r>
              <w:rPr>
                <w:rFonts w:hint="eastAsia" w:ascii="宋体" w:hAnsi="宋体" w:eastAsia="宋体" w:cs="黑体"/>
                <w:sz w:val="30"/>
                <w:szCs w:val="30"/>
                <w:lang w:val="en-US" w:eastAsia="zh-CN"/>
              </w:rPr>
              <w:t xml:space="preserve">  </w:t>
            </w:r>
            <w:r>
              <w:rPr>
                <w:rFonts w:hint="eastAsia" w:ascii="宋体" w:hAnsi="宋体" w:eastAsia="宋体" w:cs="黑体"/>
                <w:sz w:val="30"/>
                <w:szCs w:val="30"/>
              </w:rPr>
              <w:t xml:space="preserve"> 月</w:t>
            </w:r>
          </w:p>
        </w:tc>
      </w:tr>
    </w:tbl>
    <w:p w14:paraId="146483B2">
      <w:pPr>
        <w:autoSpaceDE w:val="0"/>
        <w:autoSpaceDN w:val="0"/>
        <w:adjustRightInd w:val="0"/>
        <w:snapToGrid w:val="0"/>
        <w:spacing w:line="560" w:lineRule="exact"/>
        <w:ind w:firstLine="600" w:firstLineChars="200"/>
        <w:jc w:val="center"/>
        <w:rPr>
          <w:rFonts w:hint="eastAsia" w:ascii="宋体" w:hAnsi="宋体" w:eastAsia="宋体" w:cs="宋体"/>
          <w:kern w:val="0"/>
          <w:sz w:val="30"/>
          <w:szCs w:val="30"/>
        </w:rPr>
        <w:sectPr>
          <w:pgSz w:w="11906" w:h="16838"/>
          <w:pgMar w:top="1587" w:right="1417" w:bottom="1247" w:left="1587" w:header="567" w:footer="850" w:gutter="0"/>
          <w:cols w:space="0" w:num="1"/>
          <w:docGrid w:type="lines" w:linePitch="312" w:charSpace="0"/>
        </w:sectPr>
      </w:pPr>
    </w:p>
    <w:p w14:paraId="6F1D01DA">
      <w:pPr>
        <w:numPr>
          <w:ilvl w:val="0"/>
          <w:numId w:val="10"/>
        </w:numPr>
        <w:spacing w:line="360" w:lineRule="auto"/>
        <w:jc w:val="center"/>
        <w:outlineLvl w:val="1"/>
        <w:rPr>
          <w:rFonts w:hint="eastAsia" w:ascii="宋体" w:hAnsi="宋体" w:eastAsia="宋体" w:cs="Times New Roman"/>
          <w:b/>
          <w:bCs/>
          <w:kern w:val="0"/>
          <w:sz w:val="32"/>
          <w:szCs w:val="32"/>
        </w:rPr>
      </w:pPr>
      <w:r>
        <w:rPr>
          <w:rFonts w:ascii="宋体" w:hAnsi="宋体" w:eastAsia="宋体" w:cs="Times New Roman"/>
          <w:b/>
          <w:bCs/>
          <w:kern w:val="0"/>
          <w:sz w:val="32"/>
          <w:szCs w:val="32"/>
        </w:rPr>
        <w:t>协议书</w:t>
      </w:r>
    </w:p>
    <w:p w14:paraId="46DCFF42">
      <w:pPr>
        <w:spacing w:line="360" w:lineRule="auto"/>
        <w:jc w:val="center"/>
        <w:rPr>
          <w:rFonts w:hint="eastAsia" w:ascii="宋体" w:hAnsi="宋体" w:eastAsia="宋体" w:cs="Times New Roman"/>
          <w:b/>
          <w:sz w:val="24"/>
          <w:szCs w:val="24"/>
        </w:rPr>
      </w:pPr>
    </w:p>
    <w:p w14:paraId="27395295">
      <w:pPr>
        <w:spacing w:line="360" w:lineRule="auto"/>
        <w:ind w:firstLine="514" w:firstLineChars="200"/>
        <w:contextualSpacing/>
        <w:rPr>
          <w:rFonts w:hint="eastAsia" w:ascii="宋体" w:hAnsi="宋体" w:eastAsia="宋体" w:cs="宋体"/>
          <w:b/>
          <w:spacing w:val="8"/>
          <w:sz w:val="24"/>
          <w:szCs w:val="24"/>
        </w:rPr>
      </w:pPr>
      <w:r>
        <w:rPr>
          <w:rFonts w:hint="eastAsia" w:ascii="宋体" w:hAnsi="宋体" w:eastAsia="宋体" w:cs="宋体"/>
          <w:b/>
          <w:spacing w:val="8"/>
          <w:sz w:val="24"/>
          <w:szCs w:val="24"/>
        </w:rPr>
        <w:t>委托人（甲方）：</w:t>
      </w:r>
      <w:r>
        <w:rPr>
          <w:rFonts w:hint="eastAsia" w:ascii="宋体" w:hAnsi="宋体" w:eastAsia="宋体" w:cs="宋体"/>
          <w:b/>
          <w:spacing w:val="8"/>
          <w:sz w:val="24"/>
          <w:szCs w:val="24"/>
          <w:u w:val="single"/>
          <w:lang w:eastAsia="zh-CN"/>
        </w:rPr>
        <w:t>深圳市龙华高新技术产业园区开发投资有限</w:t>
      </w:r>
      <w:r>
        <w:rPr>
          <w:rFonts w:hint="eastAsia" w:ascii="宋体" w:hAnsi="宋体" w:eastAsia="宋体" w:cs="宋体"/>
          <w:b/>
          <w:spacing w:val="8"/>
          <w:sz w:val="24"/>
          <w:szCs w:val="24"/>
          <w:u w:val="single"/>
        </w:rPr>
        <w:t>公司</w:t>
      </w:r>
    </w:p>
    <w:p w14:paraId="5D21DC2B">
      <w:pPr>
        <w:spacing w:line="360" w:lineRule="auto"/>
        <w:ind w:firstLine="514" w:firstLineChars="200"/>
        <w:contextualSpacing/>
        <w:rPr>
          <w:rFonts w:hint="eastAsia" w:ascii="宋体" w:hAnsi="宋体" w:eastAsia="宋体" w:cs="宋体"/>
          <w:spacing w:val="8"/>
          <w:sz w:val="24"/>
          <w:szCs w:val="24"/>
          <w:u w:val="single"/>
        </w:rPr>
      </w:pPr>
      <w:r>
        <w:rPr>
          <w:rFonts w:hint="eastAsia" w:ascii="宋体" w:hAnsi="宋体" w:eastAsia="宋体" w:cs="宋体"/>
          <w:b/>
          <w:spacing w:val="8"/>
          <w:sz w:val="24"/>
          <w:szCs w:val="24"/>
        </w:rPr>
        <w:t>受托人（乙方）：</w:t>
      </w:r>
      <w:r>
        <w:rPr>
          <w:rFonts w:hint="eastAsia" w:ascii="宋体" w:hAnsi="宋体" w:eastAsia="宋体" w:cs="宋体"/>
          <w:b/>
          <w:spacing w:val="8"/>
          <w:sz w:val="24"/>
          <w:szCs w:val="24"/>
          <w:u w:val="single"/>
          <w:lang w:eastAsia="zh-CN"/>
        </w:rPr>
        <w:t>XXXX</w:t>
      </w:r>
      <w:r>
        <w:rPr>
          <w:rFonts w:hint="eastAsia" w:ascii="宋体" w:hAnsi="宋体" w:eastAsia="宋体" w:cs="宋体"/>
          <w:b/>
          <w:spacing w:val="8"/>
          <w:sz w:val="24"/>
          <w:szCs w:val="24"/>
          <w:u w:val="single"/>
        </w:rPr>
        <w:t>公司</w:t>
      </w:r>
    </w:p>
    <w:p w14:paraId="770846BE">
      <w:pPr>
        <w:spacing w:line="360" w:lineRule="auto"/>
        <w:ind w:firstLine="512" w:firstLineChars="200"/>
        <w:contextualSpacing/>
        <w:rPr>
          <w:rFonts w:hint="eastAsia" w:ascii="宋体" w:hAnsi="宋体" w:eastAsia="宋体" w:cs="宋体"/>
          <w:spacing w:val="8"/>
          <w:sz w:val="24"/>
          <w:szCs w:val="24"/>
        </w:rPr>
      </w:pPr>
      <w:r>
        <w:rPr>
          <w:rFonts w:hint="eastAsia" w:ascii="宋体" w:hAnsi="宋体" w:eastAsia="宋体" w:cs="宋体"/>
          <w:spacing w:val="8"/>
          <w:sz w:val="24"/>
          <w:szCs w:val="24"/>
        </w:rPr>
        <w:t>根据《中华人民共和国民法典》及其他法律、法规</w:t>
      </w:r>
      <w:r>
        <w:rPr>
          <w:rFonts w:ascii="宋体" w:hAnsi="宋体" w:eastAsia="宋体" w:cs="宋体"/>
          <w:spacing w:val="8"/>
          <w:sz w:val="24"/>
          <w:szCs w:val="24"/>
        </w:rPr>
        <w:t>、</w:t>
      </w:r>
      <w:r>
        <w:rPr>
          <w:rFonts w:hint="eastAsia" w:ascii="宋体" w:hAnsi="宋体" w:eastAsia="宋体" w:cs="宋体"/>
          <w:spacing w:val="8"/>
          <w:sz w:val="24"/>
          <w:szCs w:val="24"/>
        </w:rPr>
        <w:t>规章，遵循平等、自愿、公平和诚实信用原则，委托人、受托人就</w:t>
      </w:r>
      <w:r>
        <w:rPr>
          <w:rFonts w:hint="eastAsia" w:ascii="宋体" w:hAnsi="宋体" w:eastAsia="宋体"/>
          <w:sz w:val="24"/>
          <w:szCs w:val="24"/>
          <w:u w:val="single"/>
          <w:lang w:eastAsia="zh-CN"/>
        </w:rPr>
        <w:t>A932-0868宗地项目</w:t>
      </w:r>
      <w:r>
        <w:rPr>
          <w:rFonts w:hint="eastAsia" w:ascii="宋体" w:hAnsi="宋体" w:eastAsia="宋体"/>
          <w:sz w:val="24"/>
          <w:szCs w:val="24"/>
          <w:u w:val="single"/>
        </w:rPr>
        <w:t>（设计咨询）</w:t>
      </w:r>
      <w:r>
        <w:rPr>
          <w:rFonts w:hint="eastAsia" w:ascii="宋体" w:hAnsi="宋体" w:eastAsia="宋体" w:cs="宋体"/>
          <w:spacing w:val="8"/>
          <w:sz w:val="24"/>
          <w:szCs w:val="24"/>
        </w:rPr>
        <w:t>服务事项协商一致，订立本合同</w:t>
      </w:r>
      <w:r>
        <w:rPr>
          <w:rFonts w:ascii="宋体" w:hAnsi="宋体" w:eastAsia="宋体" w:cs="宋体"/>
          <w:spacing w:val="8"/>
          <w:sz w:val="24"/>
          <w:szCs w:val="24"/>
        </w:rPr>
        <w:t>。</w:t>
      </w:r>
    </w:p>
    <w:p w14:paraId="138EE129">
      <w:pPr>
        <w:spacing w:line="360" w:lineRule="auto"/>
        <w:ind w:firstLine="514" w:firstLineChars="200"/>
        <w:contextualSpacing/>
        <w:rPr>
          <w:rFonts w:hint="eastAsia" w:ascii="宋体" w:hAnsi="宋体" w:eastAsia="宋体" w:cs="宋体"/>
          <w:b/>
          <w:bCs/>
          <w:spacing w:val="8"/>
          <w:sz w:val="24"/>
          <w:szCs w:val="24"/>
        </w:rPr>
      </w:pPr>
      <w:r>
        <w:rPr>
          <w:rFonts w:hint="eastAsia" w:ascii="宋体" w:hAnsi="宋体" w:eastAsia="宋体" w:cs="宋体"/>
          <w:b/>
          <w:bCs/>
          <w:spacing w:val="8"/>
          <w:sz w:val="24"/>
          <w:szCs w:val="24"/>
        </w:rPr>
        <w:t>一、工程概况</w:t>
      </w:r>
    </w:p>
    <w:p w14:paraId="6B60985D">
      <w:pPr>
        <w:spacing w:line="360" w:lineRule="auto"/>
        <w:ind w:firstLine="512" w:firstLineChars="200"/>
        <w:contextualSpacing/>
        <w:rPr>
          <w:rFonts w:hint="eastAsia" w:ascii="宋体" w:hAnsi="宋体" w:eastAsia="宋体"/>
          <w:sz w:val="24"/>
          <w:szCs w:val="24"/>
          <w:u w:val="single"/>
        </w:rPr>
      </w:pPr>
      <w:r>
        <w:rPr>
          <w:rFonts w:hint="eastAsia" w:ascii="宋体" w:hAnsi="宋体" w:eastAsia="宋体" w:cs="宋体"/>
          <w:spacing w:val="8"/>
          <w:sz w:val="24"/>
          <w:szCs w:val="24"/>
        </w:rPr>
        <w:t>1、工程名称：</w:t>
      </w:r>
      <w:r>
        <w:rPr>
          <w:rFonts w:hint="eastAsia" w:ascii="宋体" w:hAnsi="宋体" w:eastAsia="宋体"/>
          <w:sz w:val="24"/>
          <w:szCs w:val="24"/>
          <w:u w:val="single"/>
          <w:lang w:eastAsia="zh-CN"/>
        </w:rPr>
        <w:t>A932-0868宗地项目</w:t>
      </w:r>
      <w:r>
        <w:rPr>
          <w:rFonts w:hint="eastAsia" w:ascii="宋体" w:hAnsi="宋体" w:eastAsia="宋体"/>
          <w:sz w:val="24"/>
          <w:szCs w:val="24"/>
          <w:u w:val="single"/>
        </w:rPr>
        <w:t>（设计咨询）</w:t>
      </w:r>
    </w:p>
    <w:p w14:paraId="73C22A02">
      <w:pPr>
        <w:spacing w:line="360" w:lineRule="auto"/>
        <w:ind w:firstLine="512" w:firstLineChars="200"/>
        <w:contextualSpacing/>
        <w:rPr>
          <w:rFonts w:hint="eastAsia" w:ascii="宋体" w:hAnsi="宋体" w:eastAsia="宋体" w:cs="宋体"/>
          <w:spacing w:val="8"/>
          <w:sz w:val="24"/>
          <w:szCs w:val="24"/>
        </w:rPr>
      </w:pPr>
      <w:r>
        <w:rPr>
          <w:rFonts w:hint="eastAsia" w:ascii="宋体" w:hAnsi="宋体" w:eastAsia="宋体" w:cs="宋体"/>
          <w:spacing w:val="8"/>
          <w:sz w:val="24"/>
          <w:szCs w:val="24"/>
        </w:rPr>
        <w:t>2、工程地点：</w:t>
      </w:r>
      <w:r>
        <w:rPr>
          <w:rFonts w:hint="eastAsia" w:ascii="宋体" w:hAnsi="宋体" w:eastAsia="宋体"/>
          <w:sz w:val="24"/>
          <w:szCs w:val="24"/>
          <w:u w:val="single"/>
        </w:rPr>
        <w:t>深圳市龙华区</w:t>
      </w:r>
    </w:p>
    <w:p w14:paraId="7AD2833D">
      <w:pPr>
        <w:spacing w:line="360" w:lineRule="auto"/>
        <w:ind w:firstLine="512" w:firstLineChars="200"/>
        <w:contextualSpacing/>
        <w:rPr>
          <w:rFonts w:hint="eastAsia" w:ascii="宋体" w:hAnsi="宋体" w:eastAsia="宋体"/>
          <w:sz w:val="24"/>
          <w:szCs w:val="24"/>
          <w:u w:val="single"/>
        </w:rPr>
      </w:pPr>
      <w:r>
        <w:rPr>
          <w:rFonts w:hint="eastAsia" w:ascii="宋体" w:hAnsi="宋体" w:eastAsia="宋体" w:cs="宋体"/>
          <w:spacing w:val="8"/>
          <w:sz w:val="24"/>
          <w:szCs w:val="24"/>
        </w:rPr>
        <w:t>3、工程规模：</w:t>
      </w:r>
      <w:r>
        <w:rPr>
          <w:rFonts w:hint="eastAsia" w:ascii="宋体" w:hAnsi="宋体" w:eastAsia="宋体" w:cs="宋体"/>
          <w:spacing w:val="8"/>
          <w:sz w:val="24"/>
          <w:szCs w:val="24"/>
          <w:u w:val="single"/>
        </w:rPr>
        <w:t>A932-0868宗地位于龙华区观澜街道，项目位于龙华区观澜街道龙华大道东侧、外环高速南侧，紧邻共联都市智谷项目，用地性质规划为普通工业用地，用地面积32281.81㎡，容积率≤3.5，计容面积112980㎡，其中厂房81290平方米，宿舍25900平方米，食堂3200平方米，商业1000平方米，物业服务用房230平方米，小型垃圾转运站200平方米，公共厕所60平方米，公共充电站1100平方米</w:t>
      </w:r>
      <w:r>
        <w:rPr>
          <w:rFonts w:hint="eastAsia" w:ascii="宋体" w:hAnsi="宋体" w:eastAsia="宋体"/>
          <w:sz w:val="24"/>
          <w:szCs w:val="24"/>
          <w:u w:val="single"/>
        </w:rPr>
        <w:t>。</w:t>
      </w:r>
    </w:p>
    <w:p w14:paraId="74BA4816">
      <w:pPr>
        <w:spacing w:line="360" w:lineRule="auto"/>
        <w:ind w:firstLine="480" w:firstLineChars="200"/>
        <w:rPr>
          <w:rFonts w:hint="eastAsia" w:ascii="宋体" w:hAnsi="宋体" w:eastAsia="宋体"/>
          <w:sz w:val="24"/>
          <w:szCs w:val="24"/>
          <w:u w:val="single"/>
        </w:rPr>
      </w:pPr>
      <w:r>
        <w:rPr>
          <w:rFonts w:hint="eastAsia" w:ascii="宋体" w:hAnsi="宋体" w:eastAsia="宋体"/>
          <w:sz w:val="24"/>
          <w:szCs w:val="24"/>
        </w:rPr>
        <w:t>4、工作范围：</w:t>
      </w:r>
      <w:r>
        <w:rPr>
          <w:rFonts w:hint="eastAsia" w:ascii="宋体" w:hAnsi="宋体" w:eastAsia="宋体"/>
          <w:sz w:val="24"/>
          <w:szCs w:val="24"/>
          <w:u w:val="single"/>
        </w:rPr>
        <w:t>本次招标范围包括本项目所有地块范围内所有设计文件的审查和优化咨询服务。负责地块的各专业设计的强审、精审工作，满足强条要求。并负责地块的设计咨询、优化审核工作，确保设计成果满足限额设计要求，协助完成各项深化设计研究，对门窗、幕墙、外立面等涉及设计效果的进行把控及优化，协助主体设计单位等统筹装修、景观等设计成果。</w:t>
      </w:r>
    </w:p>
    <w:p w14:paraId="296C78EB">
      <w:pPr>
        <w:spacing w:line="360" w:lineRule="auto"/>
        <w:ind w:firstLine="480" w:firstLineChars="200"/>
        <w:rPr>
          <w:rFonts w:hint="eastAsia" w:ascii="宋体" w:hAnsi="宋体" w:eastAsia="宋体"/>
          <w:sz w:val="24"/>
          <w:szCs w:val="24"/>
          <w:u w:val="single"/>
        </w:rPr>
      </w:pPr>
      <w:r>
        <w:rPr>
          <w:rFonts w:hint="eastAsia" w:ascii="宋体" w:hAnsi="宋体" w:eastAsia="宋体"/>
          <w:sz w:val="24"/>
          <w:szCs w:val="24"/>
          <w:u w:val="single"/>
        </w:rPr>
        <w:t>具体范围包括：勘察成果、方案设计阶段、初步设计阶段、施工图设计阶段及后期配合阶段。咨询服务专业包括但不限于建筑、结构、给排水、暖通空调、强弱电、燃气、总图、户外管网、室外配套、景观绿化、室内外装修、智能化、地基处理、基坑支护、接入外线、红线外配套市政工程、幕墙、装配式、绿建节能及海绵城市、BIM等本工程计划投资内所有专业。</w:t>
      </w:r>
    </w:p>
    <w:p w14:paraId="2A0F1D68">
      <w:pPr>
        <w:spacing w:line="360" w:lineRule="auto"/>
        <w:ind w:firstLine="480" w:firstLineChars="200"/>
        <w:rPr>
          <w:rFonts w:hint="eastAsia" w:ascii="宋体" w:hAnsi="宋体" w:eastAsia="宋体"/>
          <w:sz w:val="24"/>
          <w:szCs w:val="24"/>
          <w:u w:val="single"/>
        </w:rPr>
      </w:pPr>
      <w:r>
        <w:rPr>
          <w:rFonts w:hint="eastAsia" w:ascii="宋体" w:hAnsi="宋体" w:eastAsia="宋体"/>
          <w:sz w:val="24"/>
          <w:szCs w:val="24"/>
          <w:u w:val="single"/>
        </w:rPr>
        <w:t>合同签订后，乙方应按需及按甲方要求指定专人作为驻场设计代表，负责设计的配合协调工作，本标段派驻不少于</w:t>
      </w:r>
      <w:r>
        <w:rPr>
          <w:rFonts w:hint="eastAsia" w:ascii="宋体" w:hAnsi="宋体" w:eastAsia="宋体"/>
          <w:sz w:val="24"/>
          <w:szCs w:val="24"/>
          <w:u w:val="single"/>
          <w:lang w:val="en-US" w:eastAsia="zh-CN"/>
        </w:rPr>
        <w:t>1</w:t>
      </w:r>
      <w:r>
        <w:rPr>
          <w:rFonts w:hint="eastAsia" w:ascii="宋体" w:hAnsi="宋体" w:eastAsia="宋体"/>
          <w:sz w:val="24"/>
          <w:szCs w:val="24"/>
          <w:u w:val="single"/>
        </w:rPr>
        <w:t>名驻场人员，驻场人员费用已包含在合同价中。</w:t>
      </w:r>
    </w:p>
    <w:p w14:paraId="20E7DB67">
      <w:pPr>
        <w:spacing w:before="156" w:beforeLines="50" w:line="360" w:lineRule="auto"/>
        <w:ind w:firstLine="514" w:firstLineChars="200"/>
        <w:contextualSpacing/>
        <w:rPr>
          <w:rFonts w:hint="eastAsia" w:ascii="宋体" w:hAnsi="宋体" w:eastAsia="宋体" w:cs="宋体"/>
          <w:b/>
          <w:bCs/>
          <w:spacing w:val="8"/>
          <w:sz w:val="24"/>
          <w:szCs w:val="24"/>
        </w:rPr>
      </w:pPr>
      <w:r>
        <w:rPr>
          <w:rFonts w:hint="eastAsia" w:ascii="宋体" w:hAnsi="宋体" w:eastAsia="宋体" w:cs="宋体"/>
          <w:b/>
          <w:bCs/>
          <w:spacing w:val="8"/>
          <w:sz w:val="24"/>
          <w:szCs w:val="24"/>
        </w:rPr>
        <w:t>二、服务期限</w:t>
      </w:r>
    </w:p>
    <w:p w14:paraId="79D8AFDE">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自合同签订之日起至项目竣工验收</w:t>
      </w:r>
      <w:r>
        <w:rPr>
          <w:rFonts w:ascii="宋体" w:hAnsi="宋体" w:eastAsia="宋体" w:cs="Times New Roman"/>
          <w:sz w:val="24"/>
          <w:szCs w:val="24"/>
        </w:rPr>
        <w:t>完成</w:t>
      </w:r>
      <w:r>
        <w:rPr>
          <w:rFonts w:hint="eastAsia" w:ascii="宋体" w:hAnsi="宋体" w:eastAsia="宋体" w:cs="Times New Roman"/>
          <w:sz w:val="24"/>
          <w:szCs w:val="24"/>
        </w:rPr>
        <w:t>止。其中：</w:t>
      </w:r>
    </w:p>
    <w:p w14:paraId="08DFD35C">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项目全部设计咨询服务工作分各个阶段完成，各阶段具体划分为：方案设计、初步设计优化、施工图设计、分项及专项深化设计、施工配合阶段。优化咨询需采用甲方格式的意见模板（模板具体以甲方提供为准），所有意见经乙方、本项目设计方、甲方三方确认后作为优化咨询服务的成果依据。</w:t>
      </w:r>
    </w:p>
    <w:p w14:paraId="0DBC1FB4">
      <w:pPr>
        <w:spacing w:line="440" w:lineRule="exact"/>
        <w:ind w:firstLine="480" w:firstLineChars="200"/>
        <w:jc w:val="left"/>
        <w:rPr>
          <w:rFonts w:hint="eastAsia" w:ascii="宋体" w:hAnsi="宋体" w:eastAsia="宋体" w:cs="Times New Roman"/>
          <w:sz w:val="24"/>
          <w:szCs w:val="24"/>
        </w:rPr>
      </w:pPr>
      <w:r>
        <w:rPr>
          <w:rFonts w:hint="eastAsia" w:ascii="宋体" w:hAnsi="宋体" w:eastAsia="宋体" w:cs="宋体"/>
          <w:sz w:val="24"/>
          <w:szCs w:val="24"/>
        </w:rPr>
        <w:t>在委托人向受托人提交方案阶段、初步设计阶段、施工图设计阶段相应阶段成果后10个工作日内，完成各阶段设计文件审查和优化咨询工作，提交电子版各专业审图意见及优化建议，并根据意见的重要性进行分类；收到设计单位根据审查意见修改之后的设计文件后5个工作日完成设计文件审查复审工作，施工图审查合格后在肆套施工图设计文件（返回委托人叁套，受托人存档壹套）上加盖技术咨询专用章并提交《设计文件精细审查终审意见》、《设计文件优化咨询报告》、《审查合格书》各叁份，其他涉及审查和优化咨询服务的过程资料一式叁份。《审查合格书》《设计文件精细审查终审意见》、《设计文件优化咨询报告》应当有各专业的审查人员签字，经法定代表人签发，并加盖受托人公章。</w:t>
      </w:r>
    </w:p>
    <w:p w14:paraId="05190779">
      <w:pPr>
        <w:numPr>
          <w:ilvl w:val="0"/>
          <w:numId w:val="11"/>
        </w:numPr>
        <w:spacing w:line="360" w:lineRule="auto"/>
        <w:ind w:firstLine="514" w:firstLineChars="200"/>
        <w:contextualSpacing/>
        <w:rPr>
          <w:rFonts w:hint="eastAsia" w:ascii="宋体" w:hAnsi="宋体" w:eastAsia="宋体" w:cs="宋体"/>
          <w:b/>
          <w:bCs/>
          <w:spacing w:val="8"/>
          <w:sz w:val="24"/>
          <w:szCs w:val="24"/>
        </w:rPr>
      </w:pPr>
      <w:r>
        <w:rPr>
          <w:rFonts w:hint="eastAsia" w:ascii="宋体" w:hAnsi="宋体" w:eastAsia="宋体" w:cs="宋体"/>
          <w:b/>
          <w:bCs/>
          <w:spacing w:val="8"/>
          <w:sz w:val="24"/>
          <w:szCs w:val="24"/>
        </w:rPr>
        <w:t>酬金及计取方式</w:t>
      </w:r>
    </w:p>
    <w:p w14:paraId="2C406096">
      <w:pPr>
        <w:tabs>
          <w:tab w:val="left" w:pos="1050"/>
        </w:tabs>
        <w:spacing w:line="360" w:lineRule="auto"/>
        <w:ind w:firstLine="512" w:firstLineChars="200"/>
        <w:rPr>
          <w:rFonts w:hint="eastAsia" w:ascii="宋体" w:hAnsi="宋体" w:eastAsia="宋体" w:cs="宋体"/>
          <w:b/>
          <w:bCs/>
          <w:spacing w:val="8"/>
          <w:sz w:val="24"/>
          <w:szCs w:val="24"/>
        </w:rPr>
      </w:pPr>
      <w:bookmarkStart w:id="1" w:name="OLE_LINK16"/>
      <w:r>
        <w:rPr>
          <w:rFonts w:hint="eastAsia" w:ascii="宋体" w:hAnsi="宋体" w:eastAsia="宋体" w:cs="宋体"/>
          <w:spacing w:val="8"/>
          <w:sz w:val="24"/>
          <w:szCs w:val="24"/>
        </w:rPr>
        <w:t>合同（含税）暂定价为：</w:t>
      </w:r>
      <w:bookmarkStart w:id="2" w:name="OLE_LINK17"/>
      <w:bookmarkStart w:id="3" w:name="OLE_LINK19"/>
      <w:r>
        <w:rPr>
          <w:rFonts w:hint="eastAsia" w:ascii="宋体" w:hAnsi="宋体" w:eastAsia="宋体" w:cs="宋体"/>
          <w:sz w:val="24"/>
          <w:szCs w:val="24"/>
        </w:rPr>
        <w:t>¥</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rPr>
        <w:t>（大写：人民币</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rPr>
        <w:t>），中标下浮率：</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rPr>
        <w:t>。</w:t>
      </w:r>
      <w:r>
        <w:rPr>
          <w:rFonts w:hint="eastAsia" w:ascii="宋体" w:hAnsi="宋体" w:eastAsia="宋体" w:cs="宋体"/>
          <w:sz w:val="24"/>
          <w:szCs w:val="24"/>
        </w:rPr>
        <w:t>其中不含税价：¥</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pacing w:val="8"/>
          <w:sz w:val="24"/>
          <w:szCs w:val="24"/>
        </w:rPr>
        <w:t>大</w:t>
      </w:r>
      <w:r>
        <w:rPr>
          <w:rFonts w:hint="eastAsia" w:ascii="宋体" w:hAnsi="宋体" w:eastAsia="宋体" w:cs="宋体"/>
          <w:sz w:val="24"/>
          <w:szCs w:val="24"/>
        </w:rPr>
        <w:t>写：人民币</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z w:val="24"/>
          <w:szCs w:val="24"/>
        </w:rPr>
        <w:t>），增值税：¥</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pacing w:val="8"/>
          <w:sz w:val="24"/>
          <w:szCs w:val="24"/>
        </w:rPr>
        <w:t>大</w:t>
      </w:r>
      <w:r>
        <w:rPr>
          <w:rFonts w:hint="eastAsia" w:ascii="宋体" w:hAnsi="宋体" w:eastAsia="宋体" w:cs="宋体"/>
          <w:sz w:val="24"/>
          <w:szCs w:val="24"/>
        </w:rPr>
        <w:t>写：人民币</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z w:val="24"/>
          <w:szCs w:val="24"/>
        </w:rPr>
        <w:t>）</w:t>
      </w:r>
      <w:bookmarkEnd w:id="2"/>
      <w:r>
        <w:rPr>
          <w:rFonts w:hint="eastAsia" w:ascii="宋体" w:hAnsi="宋体" w:eastAsia="宋体" w:cs="宋体"/>
          <w:spacing w:val="8"/>
          <w:sz w:val="24"/>
          <w:szCs w:val="24"/>
        </w:rPr>
        <w:t>。</w:t>
      </w:r>
      <w:bookmarkEnd w:id="1"/>
      <w:bookmarkEnd w:id="3"/>
    </w:p>
    <w:p w14:paraId="3CC613BD">
      <w:pPr>
        <w:numPr>
          <w:ilvl w:val="0"/>
          <w:numId w:val="11"/>
        </w:numPr>
        <w:spacing w:line="360" w:lineRule="auto"/>
        <w:ind w:firstLine="514" w:firstLineChars="200"/>
        <w:contextualSpacing/>
        <w:rPr>
          <w:rFonts w:hint="eastAsia" w:ascii="宋体" w:hAnsi="宋体" w:eastAsia="宋体" w:cs="宋体"/>
          <w:b/>
          <w:bCs/>
          <w:spacing w:val="8"/>
          <w:sz w:val="24"/>
          <w:szCs w:val="24"/>
        </w:rPr>
      </w:pPr>
      <w:r>
        <w:rPr>
          <w:rFonts w:hint="eastAsia" w:ascii="宋体" w:hAnsi="宋体" w:eastAsia="宋体" w:cs="宋体"/>
          <w:b/>
          <w:bCs/>
          <w:spacing w:val="8"/>
          <w:sz w:val="24"/>
          <w:szCs w:val="24"/>
        </w:rPr>
        <w:t>词语的定义</w:t>
      </w:r>
    </w:p>
    <w:p w14:paraId="15F00ACF">
      <w:pPr>
        <w:spacing w:line="360" w:lineRule="auto"/>
        <w:ind w:firstLine="512" w:firstLineChars="200"/>
        <w:contextualSpacing/>
        <w:rPr>
          <w:rFonts w:hint="eastAsia" w:ascii="宋体" w:hAnsi="宋体" w:eastAsia="宋体" w:cs="宋体"/>
          <w:b/>
          <w:bCs/>
          <w:spacing w:val="8"/>
          <w:sz w:val="24"/>
          <w:szCs w:val="24"/>
        </w:rPr>
      </w:pPr>
      <w:r>
        <w:rPr>
          <w:rFonts w:hint="eastAsia" w:ascii="宋体" w:hAnsi="宋体" w:eastAsia="宋体" w:cs="宋体"/>
          <w:spacing w:val="8"/>
          <w:sz w:val="24"/>
          <w:szCs w:val="24"/>
        </w:rPr>
        <w:t>本协议书中相关词语的含义与本合同“通用条款”中所赋予的定义与解释相同。</w:t>
      </w:r>
    </w:p>
    <w:p w14:paraId="34DB762D">
      <w:pPr>
        <w:spacing w:before="156" w:beforeLines="50" w:line="360" w:lineRule="auto"/>
        <w:ind w:firstLine="514" w:firstLineChars="200"/>
        <w:contextualSpacing/>
        <w:rPr>
          <w:rFonts w:hint="eastAsia" w:ascii="宋体" w:hAnsi="宋体" w:eastAsia="宋体" w:cs="宋体"/>
          <w:b/>
          <w:bCs/>
          <w:spacing w:val="8"/>
          <w:sz w:val="24"/>
          <w:szCs w:val="24"/>
        </w:rPr>
      </w:pPr>
      <w:r>
        <w:rPr>
          <w:rFonts w:hint="eastAsia" w:ascii="宋体" w:hAnsi="宋体" w:eastAsia="宋体" w:cs="宋体"/>
          <w:b/>
          <w:bCs/>
          <w:spacing w:val="8"/>
          <w:sz w:val="24"/>
          <w:szCs w:val="24"/>
        </w:rPr>
        <w:t>五、本合同文件组成及解释顺序：</w:t>
      </w:r>
    </w:p>
    <w:p w14:paraId="6251610E">
      <w:pPr>
        <w:adjustRightInd w:val="0"/>
        <w:snapToGrid w:val="0"/>
        <w:spacing w:line="360" w:lineRule="auto"/>
        <w:ind w:firstLine="480" w:firstLineChars="200"/>
        <w:jc w:val="left"/>
        <w:rPr>
          <w:rFonts w:hint="eastAsia" w:ascii="宋体" w:hAnsi="宋体" w:eastAsia="宋体" w:cs="Times New Roman"/>
          <w:kern w:val="0"/>
          <w:sz w:val="24"/>
          <w:szCs w:val="24"/>
        </w:rPr>
      </w:pPr>
      <w:r>
        <w:rPr>
          <w:rFonts w:ascii="宋体" w:hAnsi="宋体" w:eastAsia="宋体" w:cs="Times New Roman"/>
          <w:kern w:val="0"/>
          <w:sz w:val="24"/>
          <w:szCs w:val="24"/>
        </w:rPr>
        <w:t>组成合同的各个文件应该是一个整体，彼此相互解释，互为说明。组成本合同的文件及优先解释顺序如下：</w:t>
      </w:r>
    </w:p>
    <w:p w14:paraId="67054594">
      <w:pPr>
        <w:tabs>
          <w:tab w:val="left" w:pos="1080"/>
        </w:tabs>
        <w:adjustRightInd w:val="0"/>
        <w:snapToGrid w:val="0"/>
        <w:spacing w:line="360" w:lineRule="auto"/>
        <w:ind w:left="480"/>
        <w:jc w:val="left"/>
        <w:rPr>
          <w:rFonts w:hint="eastAsia" w:ascii="宋体" w:hAnsi="宋体" w:eastAsia="宋体" w:cs="Times New Roman"/>
          <w:sz w:val="24"/>
          <w:szCs w:val="24"/>
        </w:rPr>
      </w:pPr>
      <w:r>
        <w:rPr>
          <w:rFonts w:ascii="宋体" w:hAnsi="宋体" w:eastAsia="宋体" w:cs="Times New Roman"/>
          <w:sz w:val="24"/>
          <w:szCs w:val="24"/>
        </w:rPr>
        <w:t>1、协议书；</w:t>
      </w:r>
    </w:p>
    <w:p w14:paraId="504B2365">
      <w:pPr>
        <w:tabs>
          <w:tab w:val="left" w:pos="1080"/>
        </w:tabs>
        <w:adjustRightInd w:val="0"/>
        <w:snapToGrid w:val="0"/>
        <w:spacing w:line="360" w:lineRule="auto"/>
        <w:ind w:left="480"/>
        <w:jc w:val="left"/>
        <w:rPr>
          <w:rFonts w:hint="eastAsia" w:ascii="宋体" w:hAnsi="宋体" w:eastAsia="宋体" w:cs="Times New Roman"/>
          <w:sz w:val="24"/>
          <w:szCs w:val="24"/>
        </w:rPr>
      </w:pPr>
      <w:r>
        <w:rPr>
          <w:rFonts w:ascii="宋体" w:hAnsi="宋体" w:eastAsia="宋体" w:cs="Times New Roman"/>
          <w:sz w:val="24"/>
          <w:szCs w:val="24"/>
        </w:rPr>
        <w:t>2、</w:t>
      </w:r>
      <w:r>
        <w:rPr>
          <w:rFonts w:hint="eastAsia" w:ascii="宋体" w:hAnsi="宋体" w:eastAsia="宋体" w:cs="Times New Roman"/>
          <w:sz w:val="24"/>
          <w:szCs w:val="24"/>
        </w:rPr>
        <w:t>中标通知书</w:t>
      </w:r>
      <w:r>
        <w:rPr>
          <w:rFonts w:ascii="宋体" w:hAnsi="宋体" w:eastAsia="宋体" w:cs="Times New Roman"/>
          <w:sz w:val="24"/>
          <w:szCs w:val="24"/>
        </w:rPr>
        <w:t>（如果有）；</w:t>
      </w:r>
    </w:p>
    <w:p w14:paraId="6D99B15B">
      <w:pPr>
        <w:tabs>
          <w:tab w:val="left" w:pos="1080"/>
        </w:tabs>
        <w:adjustRightInd w:val="0"/>
        <w:snapToGrid w:val="0"/>
        <w:spacing w:line="360" w:lineRule="auto"/>
        <w:ind w:left="480"/>
        <w:jc w:val="left"/>
        <w:rPr>
          <w:rFonts w:hint="eastAsia" w:ascii="宋体" w:hAnsi="宋体" w:eastAsia="宋体" w:cs="Times New Roman"/>
          <w:sz w:val="24"/>
          <w:szCs w:val="24"/>
        </w:rPr>
      </w:pPr>
      <w:r>
        <w:rPr>
          <w:rFonts w:hint="eastAsia" w:ascii="宋体" w:hAnsi="宋体" w:eastAsia="宋体" w:cs="Times New Roman"/>
          <w:sz w:val="24"/>
          <w:szCs w:val="24"/>
        </w:rPr>
        <w:t>3、</w:t>
      </w:r>
      <w:r>
        <w:rPr>
          <w:rFonts w:ascii="宋体" w:hAnsi="宋体" w:eastAsia="宋体" w:cs="Times New Roman"/>
          <w:sz w:val="24"/>
          <w:szCs w:val="24"/>
        </w:rPr>
        <w:t>合同专用条款；</w:t>
      </w:r>
    </w:p>
    <w:p w14:paraId="3C35DDD4">
      <w:pPr>
        <w:tabs>
          <w:tab w:val="left" w:pos="1080"/>
        </w:tabs>
        <w:adjustRightInd w:val="0"/>
        <w:snapToGrid w:val="0"/>
        <w:spacing w:line="360" w:lineRule="auto"/>
        <w:ind w:left="480"/>
        <w:jc w:val="left"/>
        <w:rPr>
          <w:rFonts w:hint="eastAsia" w:ascii="宋体" w:hAnsi="宋体" w:eastAsia="宋体" w:cs="Times New Roman"/>
          <w:sz w:val="24"/>
          <w:szCs w:val="24"/>
        </w:rPr>
      </w:pPr>
      <w:r>
        <w:rPr>
          <w:rFonts w:hint="eastAsia" w:ascii="宋体" w:hAnsi="宋体" w:eastAsia="宋体" w:cs="Times New Roman"/>
          <w:sz w:val="24"/>
          <w:szCs w:val="24"/>
        </w:rPr>
        <w:t>4</w:t>
      </w:r>
      <w:r>
        <w:rPr>
          <w:rFonts w:ascii="宋体" w:hAnsi="宋体" w:eastAsia="宋体" w:cs="Times New Roman"/>
          <w:sz w:val="24"/>
          <w:szCs w:val="24"/>
        </w:rPr>
        <w:t>、合同通用条款；</w:t>
      </w:r>
    </w:p>
    <w:p w14:paraId="798BEBE6">
      <w:pPr>
        <w:tabs>
          <w:tab w:val="left" w:pos="1080"/>
        </w:tabs>
        <w:adjustRightInd w:val="0"/>
        <w:snapToGrid w:val="0"/>
        <w:spacing w:line="360" w:lineRule="auto"/>
        <w:ind w:left="480"/>
        <w:jc w:val="left"/>
        <w:rPr>
          <w:rFonts w:hint="eastAsia" w:ascii="宋体" w:hAnsi="宋体" w:eastAsia="宋体" w:cs="Times New Roman"/>
          <w:sz w:val="24"/>
          <w:szCs w:val="24"/>
        </w:rPr>
      </w:pPr>
      <w:r>
        <w:rPr>
          <w:rFonts w:ascii="宋体" w:hAnsi="宋体" w:eastAsia="宋体" w:cs="Times New Roman"/>
          <w:sz w:val="24"/>
          <w:szCs w:val="24"/>
        </w:rPr>
        <w:t>5、</w:t>
      </w:r>
      <w:r>
        <w:rPr>
          <w:rFonts w:hint="eastAsia" w:ascii="宋体" w:hAnsi="宋体" w:eastAsia="宋体" w:cs="Times New Roman"/>
          <w:sz w:val="24"/>
          <w:szCs w:val="24"/>
        </w:rPr>
        <w:t>招标</w:t>
      </w:r>
      <w:r>
        <w:rPr>
          <w:rFonts w:ascii="宋体" w:hAnsi="宋体" w:eastAsia="宋体" w:cs="Times New Roman"/>
          <w:sz w:val="24"/>
          <w:szCs w:val="24"/>
        </w:rPr>
        <w:t>文件、</w:t>
      </w:r>
      <w:r>
        <w:rPr>
          <w:rFonts w:hint="eastAsia" w:ascii="宋体" w:hAnsi="宋体" w:eastAsia="宋体" w:cs="Times New Roman"/>
          <w:sz w:val="24"/>
          <w:szCs w:val="24"/>
        </w:rPr>
        <w:t>投标</w:t>
      </w:r>
      <w:r>
        <w:rPr>
          <w:rFonts w:ascii="宋体" w:hAnsi="宋体" w:eastAsia="宋体" w:cs="Times New Roman"/>
          <w:sz w:val="24"/>
          <w:szCs w:val="24"/>
        </w:rPr>
        <w:t>文件及其澄清文件（如果有）；</w:t>
      </w:r>
    </w:p>
    <w:p w14:paraId="07E5C740">
      <w:pPr>
        <w:tabs>
          <w:tab w:val="left" w:pos="1080"/>
        </w:tabs>
        <w:adjustRightInd w:val="0"/>
        <w:snapToGrid w:val="0"/>
        <w:spacing w:line="360" w:lineRule="auto"/>
        <w:ind w:left="480"/>
        <w:jc w:val="left"/>
        <w:rPr>
          <w:rFonts w:hint="eastAsia" w:ascii="宋体" w:hAnsi="宋体" w:eastAsia="宋体" w:cs="Times New Roman"/>
          <w:sz w:val="24"/>
          <w:szCs w:val="24"/>
        </w:rPr>
      </w:pPr>
      <w:r>
        <w:rPr>
          <w:rFonts w:ascii="宋体" w:hAnsi="宋体" w:eastAsia="宋体" w:cs="Times New Roman"/>
          <w:sz w:val="24"/>
          <w:szCs w:val="24"/>
        </w:rPr>
        <w:t>6、双方有关的洽商、变更等书面记录和文件；</w:t>
      </w:r>
    </w:p>
    <w:p w14:paraId="15199CEC">
      <w:pPr>
        <w:tabs>
          <w:tab w:val="left" w:pos="1080"/>
        </w:tabs>
        <w:adjustRightInd w:val="0"/>
        <w:snapToGrid w:val="0"/>
        <w:spacing w:line="360" w:lineRule="auto"/>
        <w:ind w:firstLine="480" w:firstLineChars="200"/>
        <w:jc w:val="left"/>
        <w:rPr>
          <w:rFonts w:hint="eastAsia" w:ascii="宋体" w:hAnsi="宋体" w:eastAsia="宋体" w:cs="Times New Roman"/>
          <w:sz w:val="24"/>
          <w:szCs w:val="24"/>
        </w:rPr>
      </w:pPr>
      <w:r>
        <w:rPr>
          <w:rFonts w:ascii="宋体" w:hAnsi="宋体" w:eastAsia="宋体" w:cs="Times New Roman"/>
          <w:sz w:val="24"/>
          <w:szCs w:val="24"/>
        </w:rPr>
        <w:t>7、合同进行过程中双方认可的有关信件、数据电文(电报、电传、传真、电子数据交换和电子邮件)。</w:t>
      </w:r>
    </w:p>
    <w:p w14:paraId="12A5C5D4">
      <w:pPr>
        <w:spacing w:line="360" w:lineRule="auto"/>
        <w:ind w:firstLine="512" w:firstLineChars="200"/>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双方签订的补充协议与其他文件发生矛盾或歧义时，属于同一类内容的文件，应以最新签署的为准。</w:t>
      </w:r>
    </w:p>
    <w:p w14:paraId="7CA3236A">
      <w:pPr>
        <w:spacing w:line="360" w:lineRule="auto"/>
        <w:ind w:firstLine="514" w:firstLineChars="200"/>
        <w:rPr>
          <w:rFonts w:hint="eastAsia" w:ascii="宋体" w:hAnsi="宋体" w:eastAsia="宋体" w:cs="宋体"/>
          <w:b/>
          <w:bCs/>
          <w:spacing w:val="8"/>
          <w:kern w:val="0"/>
          <w:sz w:val="24"/>
          <w:szCs w:val="24"/>
        </w:rPr>
      </w:pPr>
      <w:r>
        <w:rPr>
          <w:rFonts w:hint="eastAsia" w:ascii="宋体" w:hAnsi="宋体" w:eastAsia="宋体" w:cs="宋体"/>
          <w:b/>
          <w:bCs/>
          <w:spacing w:val="8"/>
          <w:kern w:val="0"/>
          <w:sz w:val="24"/>
          <w:szCs w:val="24"/>
        </w:rPr>
        <w:t>六、双方承诺</w:t>
      </w:r>
    </w:p>
    <w:p w14:paraId="19928BB4">
      <w:pPr>
        <w:spacing w:line="360" w:lineRule="auto"/>
        <w:ind w:firstLine="512" w:firstLineChars="200"/>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1、受托人向委托人承诺，按照本合同的约定，完成约定工作范围内的建设工程设计咨询服务。</w:t>
      </w:r>
    </w:p>
    <w:p w14:paraId="260624FA">
      <w:pPr>
        <w:spacing w:line="360" w:lineRule="auto"/>
        <w:ind w:firstLine="512" w:firstLineChars="200"/>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2、委托人向受托人承诺，按照本合同约定的期限、方式、币种、额度向受托人支付酬金。</w:t>
      </w:r>
    </w:p>
    <w:p w14:paraId="54C54138">
      <w:pPr>
        <w:spacing w:line="360" w:lineRule="auto"/>
        <w:ind w:firstLine="514" w:firstLineChars="200"/>
        <w:rPr>
          <w:rFonts w:hint="eastAsia" w:ascii="宋体" w:hAnsi="宋体" w:eastAsia="宋体" w:cs="宋体"/>
          <w:b/>
          <w:bCs/>
          <w:spacing w:val="8"/>
          <w:kern w:val="0"/>
          <w:sz w:val="24"/>
          <w:szCs w:val="24"/>
        </w:rPr>
      </w:pPr>
      <w:r>
        <w:rPr>
          <w:rFonts w:hint="eastAsia" w:ascii="宋体" w:hAnsi="宋体" w:eastAsia="宋体" w:cs="宋体"/>
          <w:b/>
          <w:bCs/>
          <w:spacing w:val="8"/>
          <w:kern w:val="0"/>
          <w:sz w:val="24"/>
          <w:szCs w:val="24"/>
        </w:rPr>
        <w:t>七、通知及送达</w:t>
      </w:r>
    </w:p>
    <w:p w14:paraId="2E63D63D">
      <w:pPr>
        <w:spacing w:line="360" w:lineRule="auto"/>
        <w:ind w:firstLine="512" w:firstLineChars="200"/>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1、合同双方均保证本合同所列明的电话号码、传真号码、电子信箱等均真实有效，且双方均保证本合同所列明的各自邮政编码及地址即构成与本合同相关之询问、答复、意向、通知、说明、请求、承认、新的要约或承诺、协议等信函、文书之真实有效的送达地址。</w:t>
      </w:r>
    </w:p>
    <w:p w14:paraId="471EB448">
      <w:pPr>
        <w:spacing w:line="360" w:lineRule="auto"/>
        <w:ind w:firstLine="512" w:firstLineChars="200"/>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2、如一方以特快专递的方式邮寄文书至对方送达地址的，以投邮之日起第三日视为已送达，且视为受送达方已清楚、准确地知晓送达文书所包含的全部内容。</w:t>
      </w:r>
    </w:p>
    <w:p w14:paraId="7FF70AFD">
      <w:pPr>
        <w:spacing w:line="360" w:lineRule="auto"/>
        <w:ind w:firstLine="512" w:firstLineChars="200"/>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3、对于电话号码、传真号码、电子信箱、送达地址等如有变更的，应在变更之日起三日内以书面形式通知对方，未经通知的，视为未变更。送达地址变更未及时告知对方的，或受送达人本人或者受送达人指定的代收人拒绝签收的，导致信函、文书不能被受送达人实际接收的，文书退回之日视为送达之日。</w:t>
      </w:r>
    </w:p>
    <w:p w14:paraId="436D8E23">
      <w:pPr>
        <w:spacing w:line="360" w:lineRule="auto"/>
        <w:ind w:firstLine="514" w:firstLineChars="200"/>
        <w:rPr>
          <w:rFonts w:hint="eastAsia" w:ascii="宋体" w:hAnsi="宋体" w:eastAsia="宋体" w:cs="Times New Roman"/>
          <w:b/>
          <w:snapToGrid w:val="0"/>
          <w:sz w:val="24"/>
          <w:szCs w:val="24"/>
        </w:rPr>
      </w:pPr>
      <w:r>
        <w:rPr>
          <w:rFonts w:hint="eastAsia" w:ascii="宋体" w:hAnsi="宋体" w:eastAsia="宋体" w:cs="宋体"/>
          <w:b/>
          <w:bCs/>
          <w:spacing w:val="8"/>
          <w:kern w:val="0"/>
          <w:sz w:val="24"/>
          <w:szCs w:val="24"/>
        </w:rPr>
        <w:t>八、其他</w:t>
      </w:r>
    </w:p>
    <w:p w14:paraId="5CF2A2DD">
      <w:pPr>
        <w:spacing w:line="360" w:lineRule="auto"/>
        <w:ind w:firstLine="512" w:firstLineChars="200"/>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1、本合同未尽事宜，双方可签订补充协议，补充协议与本合同具有同等法律效力。经双方协商签订的补充协议应按顺序编号，当本合同与补充协议不一致时，应按补充协议的最新约定执行。</w:t>
      </w:r>
    </w:p>
    <w:p w14:paraId="635EE36E">
      <w:pPr>
        <w:spacing w:line="360" w:lineRule="auto"/>
        <w:ind w:firstLine="512" w:firstLineChars="200"/>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2、本合同一式壹拾份，委托人执伍份，受托人执伍份，均具同等法律效力。</w:t>
      </w:r>
    </w:p>
    <w:p w14:paraId="4A47E96C">
      <w:pPr>
        <w:spacing w:line="360" w:lineRule="auto"/>
        <w:ind w:firstLine="512" w:firstLineChars="200"/>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3、本合同经双方法定代表人或其委托代理人签名并加盖公章后生效。</w:t>
      </w:r>
    </w:p>
    <w:p w14:paraId="43D2B4BE">
      <w:pPr>
        <w:spacing w:line="360" w:lineRule="auto"/>
        <w:ind w:firstLine="512" w:firstLineChars="200"/>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（以下无正文）</w:t>
      </w:r>
    </w:p>
    <w:p w14:paraId="056CB511">
      <w:pPr>
        <w:rPr>
          <w:rFonts w:hint="eastAsia" w:ascii="宋体" w:hAnsi="宋体" w:eastAsia="宋体"/>
        </w:rPr>
      </w:pPr>
    </w:p>
    <w:tbl>
      <w:tblPr>
        <w:tblStyle w:val="80"/>
        <w:tblW w:w="8544" w:type="dxa"/>
        <w:jc w:val="center"/>
        <w:tblLayout w:type="fixed"/>
        <w:tblCellMar>
          <w:top w:w="0" w:type="dxa"/>
          <w:left w:w="108" w:type="dxa"/>
          <w:bottom w:w="0" w:type="dxa"/>
          <w:right w:w="108" w:type="dxa"/>
        </w:tblCellMar>
      </w:tblPr>
      <w:tblGrid>
        <w:gridCol w:w="1811"/>
        <w:gridCol w:w="2421"/>
        <w:gridCol w:w="1676"/>
        <w:gridCol w:w="2636"/>
      </w:tblGrid>
      <w:tr w14:paraId="1AE37020">
        <w:tblPrEx>
          <w:tblCellMar>
            <w:top w:w="0" w:type="dxa"/>
            <w:left w:w="108" w:type="dxa"/>
            <w:bottom w:w="0" w:type="dxa"/>
            <w:right w:w="108" w:type="dxa"/>
          </w:tblCellMar>
        </w:tblPrEx>
        <w:trPr>
          <w:trHeight w:val="1048" w:hRule="atLeast"/>
          <w:jc w:val="center"/>
        </w:trPr>
        <w:tc>
          <w:tcPr>
            <w:tcW w:w="4091" w:type="dxa"/>
            <w:gridSpan w:val="2"/>
          </w:tcPr>
          <w:p w14:paraId="366B1110">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甲方（盖章）：</w:t>
            </w:r>
          </w:p>
          <w:p w14:paraId="447A5C04">
            <w:pPr>
              <w:snapToGrid w:val="0"/>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lang w:eastAsia="zh-CN"/>
              </w:rPr>
              <w:t>深圳市龙华高新技术产业园区开发投资有限</w:t>
            </w:r>
            <w:r>
              <w:rPr>
                <w:rFonts w:hint="eastAsia" w:ascii="宋体" w:hAnsi="宋体" w:eastAsia="宋体" w:cs="宋体"/>
                <w:sz w:val="24"/>
                <w:szCs w:val="24"/>
                <w:u w:val="single"/>
              </w:rPr>
              <w:t>公司</w:t>
            </w:r>
          </w:p>
        </w:tc>
        <w:tc>
          <w:tcPr>
            <w:tcW w:w="4168" w:type="dxa"/>
            <w:gridSpan w:val="2"/>
          </w:tcPr>
          <w:p w14:paraId="2528F10D">
            <w:pPr>
              <w:widowControl/>
              <w:spacing w:line="360" w:lineRule="auto"/>
              <w:rPr>
                <w:rFonts w:hint="eastAsia" w:ascii="宋体" w:hAnsi="宋体" w:eastAsia="宋体" w:cs="宋体"/>
                <w:sz w:val="24"/>
                <w:szCs w:val="24"/>
              </w:rPr>
            </w:pPr>
            <w:r>
              <w:rPr>
                <w:rFonts w:hint="eastAsia" w:ascii="宋体" w:hAnsi="宋体" w:eastAsia="宋体" w:cs="宋体"/>
                <w:sz w:val="24"/>
                <w:szCs w:val="24"/>
              </w:rPr>
              <w:t>乙方（盖章）：</w:t>
            </w:r>
          </w:p>
          <w:p w14:paraId="2EB45345">
            <w:pPr>
              <w:widowControl/>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lang w:eastAsia="zh-CN"/>
              </w:rPr>
              <w:t>XXXX</w:t>
            </w:r>
            <w:r>
              <w:rPr>
                <w:rFonts w:hint="eastAsia" w:ascii="宋体" w:hAnsi="宋体" w:eastAsia="宋体" w:cs="宋体"/>
                <w:sz w:val="24"/>
                <w:szCs w:val="24"/>
                <w:u w:val="single"/>
              </w:rPr>
              <w:t>公司</w:t>
            </w:r>
          </w:p>
          <w:p w14:paraId="56EB45D9">
            <w:pPr>
              <w:widowControl/>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ab/>
            </w:r>
          </w:p>
        </w:tc>
      </w:tr>
      <w:tr w14:paraId="626C780D">
        <w:tblPrEx>
          <w:tblCellMar>
            <w:top w:w="0" w:type="dxa"/>
            <w:left w:w="108" w:type="dxa"/>
            <w:bottom w:w="0" w:type="dxa"/>
            <w:right w:w="108" w:type="dxa"/>
          </w:tblCellMar>
        </w:tblPrEx>
        <w:trPr>
          <w:trHeight w:val="1277" w:hRule="atLeast"/>
          <w:jc w:val="center"/>
        </w:trPr>
        <w:tc>
          <w:tcPr>
            <w:tcW w:w="1751" w:type="dxa"/>
          </w:tcPr>
          <w:p w14:paraId="22512A62">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法定代表人：</w:t>
            </w:r>
          </w:p>
          <w:p w14:paraId="1ED3B244">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或其委托代理人：（签名）</w:t>
            </w:r>
          </w:p>
        </w:tc>
        <w:tc>
          <w:tcPr>
            <w:tcW w:w="2340" w:type="dxa"/>
          </w:tcPr>
          <w:p w14:paraId="3A6AAB2D">
            <w:pPr>
              <w:snapToGrid w:val="0"/>
              <w:spacing w:line="360" w:lineRule="auto"/>
              <w:rPr>
                <w:rFonts w:hint="eastAsia" w:ascii="宋体" w:hAnsi="宋体" w:eastAsia="宋体" w:cs="宋体"/>
                <w:sz w:val="24"/>
                <w:szCs w:val="24"/>
              </w:rPr>
            </w:pPr>
          </w:p>
        </w:tc>
        <w:tc>
          <w:tcPr>
            <w:tcW w:w="1620" w:type="dxa"/>
          </w:tcPr>
          <w:p w14:paraId="2935BA56">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法定代表人：</w:t>
            </w:r>
          </w:p>
          <w:p w14:paraId="0D3A38AE">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或其委托代理人：（签名）</w:t>
            </w:r>
          </w:p>
        </w:tc>
        <w:tc>
          <w:tcPr>
            <w:tcW w:w="2548" w:type="dxa"/>
          </w:tcPr>
          <w:p w14:paraId="0D9D30F9">
            <w:pPr>
              <w:snapToGrid w:val="0"/>
              <w:spacing w:line="360" w:lineRule="auto"/>
              <w:rPr>
                <w:rFonts w:hint="eastAsia" w:ascii="宋体" w:hAnsi="宋体" w:eastAsia="宋体" w:cs="宋体"/>
                <w:sz w:val="24"/>
                <w:szCs w:val="24"/>
              </w:rPr>
            </w:pPr>
          </w:p>
        </w:tc>
      </w:tr>
      <w:tr w14:paraId="2A512D46">
        <w:tblPrEx>
          <w:tblCellMar>
            <w:top w:w="0" w:type="dxa"/>
            <w:left w:w="108" w:type="dxa"/>
            <w:bottom w:w="0" w:type="dxa"/>
            <w:right w:w="108" w:type="dxa"/>
          </w:tblCellMar>
        </w:tblPrEx>
        <w:trPr>
          <w:trHeight w:val="1108" w:hRule="atLeast"/>
          <w:jc w:val="center"/>
        </w:trPr>
        <w:tc>
          <w:tcPr>
            <w:tcW w:w="4091" w:type="dxa"/>
            <w:gridSpan w:val="2"/>
            <w:vAlign w:val="center"/>
          </w:tcPr>
          <w:p w14:paraId="76468261">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统一社会信用代码：</w:t>
            </w:r>
          </w:p>
          <w:p w14:paraId="0A04C684">
            <w:pPr>
              <w:snapToGrid w:val="0"/>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91440300732042230C</w:t>
            </w:r>
          </w:p>
        </w:tc>
        <w:tc>
          <w:tcPr>
            <w:tcW w:w="4168" w:type="dxa"/>
            <w:gridSpan w:val="2"/>
            <w:vAlign w:val="center"/>
          </w:tcPr>
          <w:p w14:paraId="7440726B">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统一社会信用代码：</w:t>
            </w:r>
          </w:p>
          <w:p w14:paraId="6772631D">
            <w:pPr>
              <w:snapToGrid w:val="0"/>
              <w:spacing w:line="360" w:lineRule="auto"/>
              <w:rPr>
                <w:rFonts w:hint="eastAsia" w:ascii="宋体" w:hAnsi="宋体" w:eastAsia="宋体" w:cs="宋体"/>
                <w:sz w:val="24"/>
                <w:szCs w:val="24"/>
              </w:rPr>
            </w:pPr>
          </w:p>
        </w:tc>
      </w:tr>
      <w:tr w14:paraId="57B65505">
        <w:tblPrEx>
          <w:tblCellMar>
            <w:top w:w="0" w:type="dxa"/>
            <w:left w:w="108" w:type="dxa"/>
            <w:bottom w:w="0" w:type="dxa"/>
            <w:right w:w="108" w:type="dxa"/>
          </w:tblCellMar>
        </w:tblPrEx>
        <w:trPr>
          <w:trHeight w:val="567" w:hRule="atLeast"/>
          <w:jc w:val="center"/>
        </w:trPr>
        <w:tc>
          <w:tcPr>
            <w:tcW w:w="4091" w:type="dxa"/>
            <w:gridSpan w:val="2"/>
            <w:vAlign w:val="center"/>
          </w:tcPr>
          <w:p w14:paraId="074292D3">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深圳市龙华区观盛三路龙馨家园A座</w:t>
            </w:r>
          </w:p>
        </w:tc>
        <w:tc>
          <w:tcPr>
            <w:tcW w:w="4168" w:type="dxa"/>
            <w:gridSpan w:val="2"/>
            <w:vAlign w:val="center"/>
          </w:tcPr>
          <w:p w14:paraId="20076B91">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地址：</w:t>
            </w:r>
          </w:p>
        </w:tc>
      </w:tr>
      <w:tr w14:paraId="3E751AA7">
        <w:tblPrEx>
          <w:tblCellMar>
            <w:top w:w="0" w:type="dxa"/>
            <w:left w:w="108" w:type="dxa"/>
            <w:bottom w:w="0" w:type="dxa"/>
            <w:right w:w="108" w:type="dxa"/>
          </w:tblCellMar>
        </w:tblPrEx>
        <w:trPr>
          <w:trHeight w:val="567" w:hRule="atLeast"/>
          <w:jc w:val="center"/>
        </w:trPr>
        <w:tc>
          <w:tcPr>
            <w:tcW w:w="4091" w:type="dxa"/>
            <w:gridSpan w:val="2"/>
            <w:vAlign w:val="center"/>
          </w:tcPr>
          <w:p w14:paraId="08E87544">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开户银行：</w:t>
            </w:r>
          </w:p>
        </w:tc>
        <w:tc>
          <w:tcPr>
            <w:tcW w:w="4168" w:type="dxa"/>
            <w:gridSpan w:val="2"/>
            <w:vAlign w:val="center"/>
          </w:tcPr>
          <w:p w14:paraId="58E75A03">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开户银行：</w:t>
            </w:r>
          </w:p>
        </w:tc>
      </w:tr>
      <w:tr w14:paraId="00161147">
        <w:tblPrEx>
          <w:tblCellMar>
            <w:top w:w="0" w:type="dxa"/>
            <w:left w:w="108" w:type="dxa"/>
            <w:bottom w:w="0" w:type="dxa"/>
            <w:right w:w="108" w:type="dxa"/>
          </w:tblCellMar>
        </w:tblPrEx>
        <w:trPr>
          <w:trHeight w:val="567" w:hRule="atLeast"/>
          <w:jc w:val="center"/>
        </w:trPr>
        <w:tc>
          <w:tcPr>
            <w:tcW w:w="4091" w:type="dxa"/>
            <w:gridSpan w:val="2"/>
            <w:vAlign w:val="center"/>
          </w:tcPr>
          <w:p w14:paraId="2D8C5249">
            <w:pPr>
              <w:snapToGrid w:val="0"/>
              <w:spacing w:line="360" w:lineRule="auto"/>
              <w:rPr>
                <w:rFonts w:hint="eastAsia" w:ascii="宋体" w:hAnsi="宋体" w:eastAsia="宋体" w:cs="宋体"/>
                <w:sz w:val="24"/>
                <w:szCs w:val="24"/>
                <w:lang w:eastAsia="en-US"/>
              </w:rPr>
            </w:pPr>
            <w:r>
              <w:rPr>
                <w:rFonts w:hint="eastAsia" w:ascii="宋体" w:hAnsi="宋体" w:eastAsia="宋体" w:cs="宋体"/>
                <w:sz w:val="24"/>
                <w:szCs w:val="24"/>
              </w:rPr>
              <w:t>银行账号：</w:t>
            </w:r>
          </w:p>
        </w:tc>
        <w:tc>
          <w:tcPr>
            <w:tcW w:w="4168" w:type="dxa"/>
            <w:gridSpan w:val="2"/>
            <w:vAlign w:val="center"/>
          </w:tcPr>
          <w:p w14:paraId="7B3D7748">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银行账号：</w:t>
            </w:r>
          </w:p>
        </w:tc>
      </w:tr>
      <w:tr w14:paraId="2E91E80E">
        <w:tblPrEx>
          <w:tblCellMar>
            <w:top w:w="0" w:type="dxa"/>
            <w:left w:w="108" w:type="dxa"/>
            <w:bottom w:w="0" w:type="dxa"/>
            <w:right w:w="108" w:type="dxa"/>
          </w:tblCellMar>
        </w:tblPrEx>
        <w:trPr>
          <w:trHeight w:val="567" w:hRule="atLeast"/>
          <w:jc w:val="center"/>
        </w:trPr>
        <w:tc>
          <w:tcPr>
            <w:tcW w:w="4091" w:type="dxa"/>
            <w:gridSpan w:val="2"/>
            <w:vAlign w:val="center"/>
          </w:tcPr>
          <w:p w14:paraId="69A177AE">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邮政编码：</w:t>
            </w:r>
          </w:p>
        </w:tc>
        <w:tc>
          <w:tcPr>
            <w:tcW w:w="4168" w:type="dxa"/>
            <w:gridSpan w:val="2"/>
            <w:vAlign w:val="center"/>
          </w:tcPr>
          <w:p w14:paraId="72793277">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邮政编码：</w:t>
            </w:r>
          </w:p>
        </w:tc>
      </w:tr>
      <w:tr w14:paraId="74579B65">
        <w:tblPrEx>
          <w:tblCellMar>
            <w:top w:w="0" w:type="dxa"/>
            <w:left w:w="108" w:type="dxa"/>
            <w:bottom w:w="0" w:type="dxa"/>
            <w:right w:w="108" w:type="dxa"/>
          </w:tblCellMar>
        </w:tblPrEx>
        <w:trPr>
          <w:trHeight w:val="567" w:hRule="atLeast"/>
          <w:jc w:val="center"/>
        </w:trPr>
        <w:tc>
          <w:tcPr>
            <w:tcW w:w="4091" w:type="dxa"/>
            <w:gridSpan w:val="2"/>
            <w:vAlign w:val="center"/>
          </w:tcPr>
          <w:p w14:paraId="2E803F6C">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电子邮箱：</w:t>
            </w:r>
          </w:p>
        </w:tc>
        <w:tc>
          <w:tcPr>
            <w:tcW w:w="4168" w:type="dxa"/>
            <w:gridSpan w:val="2"/>
            <w:vAlign w:val="center"/>
          </w:tcPr>
          <w:p w14:paraId="090DE003">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电子邮箱：</w:t>
            </w:r>
          </w:p>
        </w:tc>
      </w:tr>
      <w:tr w14:paraId="47663CCD">
        <w:tblPrEx>
          <w:tblCellMar>
            <w:top w:w="0" w:type="dxa"/>
            <w:left w:w="108" w:type="dxa"/>
            <w:bottom w:w="0" w:type="dxa"/>
            <w:right w:w="108" w:type="dxa"/>
          </w:tblCellMar>
        </w:tblPrEx>
        <w:trPr>
          <w:trHeight w:val="567" w:hRule="atLeast"/>
          <w:jc w:val="center"/>
        </w:trPr>
        <w:tc>
          <w:tcPr>
            <w:tcW w:w="4091" w:type="dxa"/>
            <w:gridSpan w:val="2"/>
            <w:vAlign w:val="center"/>
          </w:tcPr>
          <w:p w14:paraId="5FF15665">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合同联系人：高工</w:t>
            </w:r>
          </w:p>
        </w:tc>
        <w:tc>
          <w:tcPr>
            <w:tcW w:w="4168" w:type="dxa"/>
            <w:gridSpan w:val="2"/>
            <w:vAlign w:val="center"/>
          </w:tcPr>
          <w:p w14:paraId="488C3F53">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合同联系人：</w:t>
            </w:r>
          </w:p>
        </w:tc>
      </w:tr>
      <w:tr w14:paraId="4392A758">
        <w:tblPrEx>
          <w:tblCellMar>
            <w:top w:w="0" w:type="dxa"/>
            <w:left w:w="108" w:type="dxa"/>
            <w:bottom w:w="0" w:type="dxa"/>
            <w:right w:w="108" w:type="dxa"/>
          </w:tblCellMar>
        </w:tblPrEx>
        <w:trPr>
          <w:trHeight w:val="567" w:hRule="atLeast"/>
          <w:jc w:val="center"/>
        </w:trPr>
        <w:tc>
          <w:tcPr>
            <w:tcW w:w="4091" w:type="dxa"/>
            <w:gridSpan w:val="2"/>
            <w:vAlign w:val="center"/>
          </w:tcPr>
          <w:p w14:paraId="383762A9">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联系方式：</w:t>
            </w:r>
            <w:r>
              <w:rPr>
                <w:rFonts w:hint="eastAsia" w:ascii="宋体" w:hAnsi="宋体" w:eastAsia="宋体" w:cs="宋体"/>
                <w:sz w:val="24"/>
                <w:szCs w:val="24"/>
                <w:u w:val="single"/>
              </w:rPr>
              <w:t>0755-2980 9916</w:t>
            </w:r>
          </w:p>
        </w:tc>
        <w:tc>
          <w:tcPr>
            <w:tcW w:w="4168" w:type="dxa"/>
            <w:gridSpan w:val="2"/>
            <w:vAlign w:val="center"/>
          </w:tcPr>
          <w:p w14:paraId="3FD0AD3C">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联系方式：</w:t>
            </w:r>
          </w:p>
        </w:tc>
      </w:tr>
      <w:tr w14:paraId="636C2DB7">
        <w:tblPrEx>
          <w:tblCellMar>
            <w:top w:w="0" w:type="dxa"/>
            <w:left w:w="108" w:type="dxa"/>
            <w:bottom w:w="0" w:type="dxa"/>
            <w:right w:w="108" w:type="dxa"/>
          </w:tblCellMar>
        </w:tblPrEx>
        <w:trPr>
          <w:trHeight w:val="567" w:hRule="atLeast"/>
          <w:jc w:val="center"/>
        </w:trPr>
        <w:tc>
          <w:tcPr>
            <w:tcW w:w="8259" w:type="dxa"/>
            <w:gridSpan w:val="4"/>
            <w:vAlign w:val="center"/>
          </w:tcPr>
          <w:p w14:paraId="6C2ABEEC">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合同签订时间：202</w:t>
            </w:r>
            <w:r>
              <w:rPr>
                <w:rFonts w:hint="eastAsia" w:ascii="宋体" w:hAnsi="宋体" w:eastAsia="宋体" w:cs="宋体"/>
                <w:sz w:val="24"/>
                <w:szCs w:val="24"/>
                <w:lang w:val="en-US" w:eastAsia="zh-CN"/>
              </w:rPr>
              <w:t>6</w:t>
            </w:r>
            <w:r>
              <w:rPr>
                <w:rFonts w:hint="eastAsia" w:ascii="宋体" w:hAnsi="宋体" w:eastAsia="宋体" w:cs="宋体"/>
                <w:sz w:val="24"/>
                <w:szCs w:val="24"/>
              </w:rPr>
              <w:t>年  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14:paraId="3EEB496A">
            <w:pPr>
              <w:snapToGrid w:val="0"/>
              <w:spacing w:line="360" w:lineRule="auto"/>
              <w:rPr>
                <w:rFonts w:hint="eastAsia" w:ascii="宋体" w:hAnsi="宋体" w:eastAsia="宋体" w:cs="宋体"/>
                <w:sz w:val="24"/>
                <w:szCs w:val="24"/>
              </w:rPr>
            </w:pPr>
          </w:p>
        </w:tc>
      </w:tr>
    </w:tbl>
    <w:p w14:paraId="4822A6E3">
      <w:pPr>
        <w:numPr>
          <w:ilvl w:val="0"/>
          <w:numId w:val="10"/>
        </w:numPr>
        <w:spacing w:line="360" w:lineRule="auto"/>
        <w:jc w:val="center"/>
        <w:outlineLvl w:val="1"/>
        <w:rPr>
          <w:rFonts w:hint="eastAsia" w:ascii="宋体" w:hAnsi="宋体" w:eastAsia="宋体" w:cs="Times New Roman"/>
          <w:b/>
          <w:bCs/>
          <w:kern w:val="0"/>
          <w:sz w:val="32"/>
          <w:szCs w:val="32"/>
        </w:rPr>
        <w:sectPr>
          <w:footerReference r:id="rId3" w:type="default"/>
          <w:pgSz w:w="11906" w:h="16838"/>
          <w:pgMar w:top="1440" w:right="1080" w:bottom="1440" w:left="1080" w:header="851" w:footer="992" w:gutter="0"/>
          <w:pgNumType w:start="1"/>
          <w:cols w:space="720" w:num="1"/>
          <w:docGrid w:type="lines" w:linePitch="312" w:charSpace="0"/>
        </w:sectPr>
      </w:pPr>
    </w:p>
    <w:p w14:paraId="74693165">
      <w:pPr>
        <w:numPr>
          <w:ilvl w:val="0"/>
          <w:numId w:val="10"/>
        </w:numPr>
        <w:spacing w:line="360" w:lineRule="auto"/>
        <w:jc w:val="center"/>
        <w:outlineLvl w:val="1"/>
        <w:rPr>
          <w:rFonts w:hint="eastAsia" w:ascii="宋体" w:hAnsi="宋体" w:eastAsia="宋体" w:cs="Times New Roman"/>
          <w:bCs/>
          <w:sz w:val="24"/>
        </w:rPr>
      </w:pPr>
      <w:r>
        <w:rPr>
          <w:rFonts w:ascii="宋体" w:hAnsi="宋体" w:eastAsia="宋体" w:cs="Times New Roman"/>
          <w:b/>
          <w:bCs/>
          <w:kern w:val="0"/>
          <w:sz w:val="32"/>
          <w:szCs w:val="32"/>
        </w:rPr>
        <w:t>合同条款</w:t>
      </w:r>
    </w:p>
    <w:p w14:paraId="0298F538">
      <w:pPr>
        <w:adjustRightInd w:val="0"/>
        <w:snapToGrid w:val="0"/>
        <w:spacing w:line="360" w:lineRule="auto"/>
        <w:jc w:val="center"/>
        <w:outlineLvl w:val="1"/>
        <w:rPr>
          <w:rFonts w:hint="eastAsia" w:ascii="宋体" w:hAnsi="宋体" w:eastAsia="宋体" w:cs="Times New Roman"/>
          <w:b/>
          <w:bCs/>
          <w:kern w:val="0"/>
          <w:sz w:val="32"/>
          <w:szCs w:val="32"/>
        </w:rPr>
      </w:pPr>
      <w:r>
        <w:rPr>
          <w:rFonts w:ascii="宋体" w:hAnsi="宋体" w:eastAsia="宋体" w:cs="Times New Roman"/>
          <w:b/>
          <w:bCs/>
          <w:kern w:val="0"/>
          <w:sz w:val="32"/>
          <w:szCs w:val="32"/>
        </w:rPr>
        <w:t>通用条款</w:t>
      </w:r>
    </w:p>
    <w:p w14:paraId="41040CD5">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1、定义</w:t>
      </w:r>
    </w:p>
    <w:p w14:paraId="536D16A8">
      <w:pPr>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在合同中，下列措词和用语应具有此处所赋予它们的含义：</w:t>
      </w:r>
    </w:p>
    <w:p w14:paraId="1B0AFC42">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1.1“合同文件”是指合同协议书、合同专用条款、合同通用条款等。</w:t>
      </w:r>
    </w:p>
    <w:p w14:paraId="0F7C1F8F">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1.2“</w:t>
      </w:r>
      <w:r>
        <w:rPr>
          <w:rFonts w:hint="eastAsia" w:ascii="宋体" w:hAnsi="宋体" w:eastAsia="宋体" w:cs="Times New Roman"/>
          <w:sz w:val="24"/>
          <w:lang w:val="zh-CN"/>
        </w:rPr>
        <w:t>设计咨询服务</w:t>
      </w:r>
      <w:r>
        <w:rPr>
          <w:rFonts w:ascii="宋体" w:hAnsi="宋体" w:eastAsia="宋体" w:cs="Times New Roman"/>
          <w:sz w:val="24"/>
          <w:lang w:val="zh-CN"/>
        </w:rPr>
        <w:t>”系指合同规定</w:t>
      </w:r>
      <w:r>
        <w:rPr>
          <w:rFonts w:hint="eastAsia" w:ascii="宋体" w:hAnsi="宋体" w:eastAsia="宋体" w:cs="Times New Roman"/>
          <w:sz w:val="24"/>
          <w:lang w:val="zh-CN"/>
        </w:rPr>
        <w:t>受托人</w:t>
      </w:r>
      <w:r>
        <w:rPr>
          <w:rFonts w:ascii="宋体" w:hAnsi="宋体" w:eastAsia="宋体" w:cs="Times New Roman"/>
          <w:sz w:val="24"/>
          <w:lang w:val="zh-CN"/>
        </w:rPr>
        <w:t>须承担的</w:t>
      </w:r>
      <w:r>
        <w:rPr>
          <w:rFonts w:hint="eastAsia" w:ascii="宋体" w:hAnsi="宋体" w:eastAsia="宋体" w:cs="Times New Roman"/>
          <w:sz w:val="24"/>
          <w:lang w:val="zh-CN"/>
        </w:rPr>
        <w:t>设计文件审核、优化</w:t>
      </w:r>
      <w:r>
        <w:rPr>
          <w:rFonts w:ascii="宋体" w:hAnsi="宋体" w:eastAsia="宋体" w:cs="Times New Roman"/>
          <w:sz w:val="24"/>
          <w:lang w:val="zh-CN"/>
        </w:rPr>
        <w:t>及相关的联络、配合，以及其它服务。</w:t>
      </w:r>
    </w:p>
    <w:p w14:paraId="27D3718A">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1.3“</w:t>
      </w:r>
      <w:r>
        <w:rPr>
          <w:rFonts w:hint="eastAsia" w:ascii="宋体" w:hAnsi="宋体" w:eastAsia="宋体" w:cs="Times New Roman"/>
          <w:sz w:val="24"/>
          <w:lang w:val="zh-CN"/>
        </w:rPr>
        <w:t>设计咨询服务</w:t>
      </w:r>
      <w:r>
        <w:rPr>
          <w:rFonts w:ascii="宋体" w:hAnsi="宋体" w:eastAsia="宋体" w:cs="Times New Roman"/>
          <w:sz w:val="24"/>
          <w:lang w:val="zh-CN"/>
        </w:rPr>
        <w:t>文件”指按合同规定的</w:t>
      </w:r>
      <w:r>
        <w:rPr>
          <w:rFonts w:hint="eastAsia" w:ascii="宋体" w:hAnsi="宋体" w:eastAsia="宋体" w:cs="Times New Roman"/>
          <w:sz w:val="24"/>
          <w:lang w:val="zh-CN"/>
        </w:rPr>
        <w:t>受托人</w:t>
      </w:r>
      <w:r>
        <w:rPr>
          <w:rFonts w:ascii="宋体" w:hAnsi="宋体" w:eastAsia="宋体" w:cs="Times New Roman"/>
          <w:sz w:val="24"/>
          <w:lang w:val="zh-CN"/>
        </w:rPr>
        <w:t>提供服务的</w:t>
      </w:r>
      <w:r>
        <w:rPr>
          <w:rFonts w:hint="eastAsia" w:ascii="宋体" w:hAnsi="宋体" w:eastAsia="宋体" w:cs="Times New Roman"/>
          <w:sz w:val="24"/>
          <w:lang w:val="zh-CN"/>
        </w:rPr>
        <w:t>设计文件设计咨询服务</w:t>
      </w:r>
      <w:r>
        <w:rPr>
          <w:rFonts w:ascii="宋体" w:hAnsi="宋体" w:eastAsia="宋体" w:cs="Times New Roman"/>
          <w:sz w:val="24"/>
          <w:lang w:val="zh-CN"/>
        </w:rPr>
        <w:t>过程文件、最终成果文件及互提资料文件。</w:t>
      </w:r>
    </w:p>
    <w:p w14:paraId="75B784A2">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1.4“合同价”系指根据合同规定</w:t>
      </w:r>
      <w:r>
        <w:rPr>
          <w:rFonts w:hint="eastAsia" w:ascii="宋体" w:hAnsi="宋体" w:eastAsia="宋体" w:cs="Times New Roman"/>
          <w:sz w:val="24"/>
          <w:lang w:val="zh-CN"/>
        </w:rPr>
        <w:t>受托人</w:t>
      </w:r>
      <w:r>
        <w:rPr>
          <w:rFonts w:ascii="宋体" w:hAnsi="宋体" w:eastAsia="宋体" w:cs="Times New Roman"/>
          <w:sz w:val="24"/>
          <w:lang w:val="zh-CN"/>
        </w:rPr>
        <w:t>在正确地完全履行合同义务后</w:t>
      </w:r>
      <w:r>
        <w:rPr>
          <w:rFonts w:hint="eastAsia" w:ascii="宋体" w:hAnsi="宋体" w:eastAsia="宋体" w:cs="Times New Roman"/>
          <w:sz w:val="24"/>
          <w:lang w:val="zh-CN"/>
        </w:rPr>
        <w:t>委托人</w:t>
      </w:r>
      <w:r>
        <w:rPr>
          <w:rFonts w:ascii="宋体" w:hAnsi="宋体" w:eastAsia="宋体" w:cs="Times New Roman"/>
          <w:sz w:val="24"/>
          <w:lang w:val="zh-CN"/>
        </w:rPr>
        <w:t>应支付给</w:t>
      </w:r>
      <w:r>
        <w:rPr>
          <w:rFonts w:hint="eastAsia" w:ascii="宋体" w:hAnsi="宋体" w:eastAsia="宋体" w:cs="Times New Roman"/>
          <w:sz w:val="24"/>
          <w:lang w:val="zh-CN"/>
        </w:rPr>
        <w:t>受托人</w:t>
      </w:r>
      <w:r>
        <w:rPr>
          <w:rFonts w:ascii="宋体" w:hAnsi="宋体" w:eastAsia="宋体" w:cs="Times New Roman"/>
          <w:sz w:val="24"/>
          <w:lang w:val="zh-CN"/>
        </w:rPr>
        <w:t>的费用。</w:t>
      </w:r>
    </w:p>
    <w:p w14:paraId="1C684253">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1.5“项目”系指</w:t>
      </w:r>
      <w:r>
        <w:rPr>
          <w:rFonts w:hint="eastAsia" w:ascii="宋体" w:hAnsi="宋体" w:eastAsia="宋体" w:cs="Times New Roman"/>
          <w:sz w:val="24"/>
          <w:lang w:val="zh-CN"/>
        </w:rPr>
        <w:t>受托人</w:t>
      </w:r>
      <w:r>
        <w:rPr>
          <w:rFonts w:ascii="宋体" w:hAnsi="宋体" w:eastAsia="宋体" w:cs="Times New Roman"/>
          <w:sz w:val="24"/>
          <w:lang w:val="zh-CN"/>
        </w:rPr>
        <w:t>根据合同规定为提供所有成果和相关服务而进行的全部工作，除非上下文另有说明。</w:t>
      </w:r>
    </w:p>
    <w:p w14:paraId="66C52D36">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1.6“变更指令”系指“通用条款”和“专用条款”所述，</w:t>
      </w:r>
      <w:r>
        <w:rPr>
          <w:rFonts w:hint="eastAsia" w:ascii="宋体" w:hAnsi="宋体" w:eastAsia="宋体" w:cs="Times New Roman"/>
          <w:sz w:val="24"/>
          <w:lang w:val="zh-CN"/>
        </w:rPr>
        <w:t>委托人</w:t>
      </w:r>
      <w:r>
        <w:rPr>
          <w:rFonts w:ascii="宋体" w:hAnsi="宋体" w:eastAsia="宋体" w:cs="Times New Roman"/>
          <w:sz w:val="24"/>
          <w:lang w:val="zh-CN"/>
        </w:rPr>
        <w:t>向</w:t>
      </w:r>
      <w:r>
        <w:rPr>
          <w:rFonts w:hint="eastAsia" w:ascii="宋体" w:hAnsi="宋体" w:eastAsia="宋体" w:cs="Times New Roman"/>
          <w:sz w:val="24"/>
          <w:lang w:val="zh-CN"/>
        </w:rPr>
        <w:t>受托人</w:t>
      </w:r>
      <w:r>
        <w:rPr>
          <w:rFonts w:ascii="宋体" w:hAnsi="宋体" w:eastAsia="宋体" w:cs="Times New Roman"/>
          <w:sz w:val="24"/>
          <w:lang w:val="zh-CN"/>
        </w:rPr>
        <w:t>发出的、要求</w:t>
      </w:r>
      <w:r>
        <w:rPr>
          <w:rFonts w:hint="eastAsia" w:ascii="宋体" w:hAnsi="宋体" w:eastAsia="宋体" w:cs="Times New Roman"/>
          <w:sz w:val="24"/>
          <w:lang w:val="zh-CN"/>
        </w:rPr>
        <w:t>受托人</w:t>
      </w:r>
      <w:r>
        <w:rPr>
          <w:rFonts w:ascii="宋体" w:hAnsi="宋体" w:eastAsia="宋体" w:cs="Times New Roman"/>
          <w:sz w:val="24"/>
          <w:lang w:val="zh-CN"/>
        </w:rPr>
        <w:t>对项目进行变更的、规定格式的书面命令。</w:t>
      </w:r>
    </w:p>
    <w:p w14:paraId="35646043">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1.7“天”指日历天数。</w:t>
      </w:r>
    </w:p>
    <w:p w14:paraId="66CDB68A">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1.8“验收”系指</w:t>
      </w:r>
      <w:r>
        <w:rPr>
          <w:rFonts w:hint="eastAsia" w:ascii="宋体" w:hAnsi="宋体" w:eastAsia="宋体" w:cs="Times New Roman"/>
          <w:sz w:val="24"/>
          <w:lang w:val="zh-CN"/>
        </w:rPr>
        <w:t>委托人</w:t>
      </w:r>
      <w:r>
        <w:rPr>
          <w:rFonts w:ascii="宋体" w:hAnsi="宋体" w:eastAsia="宋体" w:cs="Times New Roman"/>
          <w:sz w:val="24"/>
          <w:lang w:val="zh-CN"/>
        </w:rPr>
        <w:t>依据合同条件、技术标准接受成果及服务所进行的必要程序。</w:t>
      </w:r>
    </w:p>
    <w:p w14:paraId="7CE0C1EB">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1.9 本合同中的标题和题名仅作提示参考，并无作合同解释之特殊用意。本合同中引用某个条款时，除非特别说明，应解释为包含该条款项下所有子条款的内容。</w:t>
      </w:r>
    </w:p>
    <w:p w14:paraId="557C42E4">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1.10 凡指当事人或各方的措辞应包括公司以及具有法人资格的任何组织。仅表明单数形式的词也包括复数含义，视上下文需要而定，反之亦然。</w:t>
      </w:r>
    </w:p>
    <w:p w14:paraId="1B1EFBAC">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1.11 凡合同中规定通讯是“书面的”或“用书面形式”，这是指任何手写的、打印的或印刷的通讯，包括电报和传真发送等。</w:t>
      </w:r>
    </w:p>
    <w:p w14:paraId="0EA9BCF8">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2、适用性</w:t>
      </w:r>
    </w:p>
    <w:p w14:paraId="20C33483">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rPr>
        <w:t xml:space="preserve">2.1 </w:t>
      </w:r>
      <w:r>
        <w:rPr>
          <w:rFonts w:ascii="宋体" w:hAnsi="宋体" w:eastAsia="宋体" w:cs="Times New Roman"/>
          <w:sz w:val="24"/>
          <w:lang w:val="zh-CN"/>
        </w:rPr>
        <w:t>本合同“通用条款”适用于没有被本合同其它部分的条款所取代的范围。</w:t>
      </w:r>
    </w:p>
    <w:p w14:paraId="7BC244D3">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2.2  一旦“通用条款”与“专用条款”抵触，则以“专用条款”为准。</w:t>
      </w:r>
    </w:p>
    <w:p w14:paraId="66D75E8B">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3、标准</w:t>
      </w:r>
    </w:p>
    <w:p w14:paraId="6F52D921">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rPr>
        <w:t xml:space="preserve">3.1 </w:t>
      </w:r>
      <w:r>
        <w:rPr>
          <w:rFonts w:ascii="宋体" w:hAnsi="宋体" w:eastAsia="宋体" w:cs="Times New Roman"/>
          <w:sz w:val="24"/>
          <w:lang w:val="zh-CN"/>
        </w:rPr>
        <w:t>所有成果和服务均应符合“任务大纲”中所述的标准。如果没有提及适用标准，则应符合中华人民共和国国家标准或行业、地方标准。这些标准必须是有关机构发布的最新版本的标准。</w:t>
      </w:r>
    </w:p>
    <w:p w14:paraId="5860B0A3">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3.2 若</w:t>
      </w:r>
      <w:r>
        <w:rPr>
          <w:rFonts w:hint="eastAsia" w:ascii="宋体" w:hAnsi="宋体" w:eastAsia="宋体" w:cs="Times New Roman"/>
          <w:sz w:val="24"/>
          <w:lang w:val="zh-CN"/>
        </w:rPr>
        <w:t>受托人</w:t>
      </w:r>
      <w:r>
        <w:rPr>
          <w:rFonts w:ascii="宋体" w:hAnsi="宋体" w:eastAsia="宋体" w:cs="Times New Roman"/>
          <w:sz w:val="24"/>
          <w:lang w:val="zh-CN"/>
        </w:rPr>
        <w:t>采用了非国内公开发行的标准，</w:t>
      </w:r>
      <w:r>
        <w:rPr>
          <w:rFonts w:hint="eastAsia" w:ascii="宋体" w:hAnsi="宋体" w:eastAsia="宋体" w:cs="Times New Roman"/>
          <w:sz w:val="24"/>
          <w:lang w:val="zh-CN"/>
        </w:rPr>
        <w:t>受托人</w:t>
      </w:r>
      <w:r>
        <w:rPr>
          <w:rFonts w:ascii="宋体" w:hAnsi="宋体" w:eastAsia="宋体" w:cs="Times New Roman"/>
          <w:sz w:val="24"/>
          <w:lang w:val="zh-CN"/>
        </w:rPr>
        <w:t>应向</w:t>
      </w:r>
      <w:r>
        <w:rPr>
          <w:rFonts w:hint="eastAsia" w:ascii="宋体" w:hAnsi="宋体" w:eastAsia="宋体" w:cs="Times New Roman"/>
          <w:sz w:val="24"/>
          <w:lang w:val="zh-CN"/>
        </w:rPr>
        <w:t>委托人</w:t>
      </w:r>
      <w:r>
        <w:rPr>
          <w:rFonts w:ascii="宋体" w:hAnsi="宋体" w:eastAsia="宋体" w:cs="Times New Roman"/>
          <w:sz w:val="24"/>
          <w:lang w:val="zh-CN"/>
        </w:rPr>
        <w:t>提供有关标准的中、英文文本。</w:t>
      </w:r>
    </w:p>
    <w:p w14:paraId="10653B8E">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3.3 除非合同中另有规定，计量单位均应采用中华人民共和国法定计量单位。</w:t>
      </w:r>
    </w:p>
    <w:p w14:paraId="16AA5E00">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4、使用合同文件和资料</w:t>
      </w:r>
    </w:p>
    <w:p w14:paraId="20E4EE4F">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rPr>
        <w:t xml:space="preserve">4.1 </w:t>
      </w:r>
      <w:r>
        <w:rPr>
          <w:rFonts w:ascii="宋体" w:hAnsi="宋体" w:eastAsia="宋体" w:cs="Times New Roman"/>
          <w:sz w:val="24"/>
          <w:lang w:val="zh-CN"/>
        </w:rPr>
        <w:t>没有</w:t>
      </w:r>
      <w:r>
        <w:rPr>
          <w:rFonts w:hint="eastAsia" w:ascii="宋体" w:hAnsi="宋体" w:eastAsia="宋体" w:cs="Times New Roman"/>
          <w:sz w:val="24"/>
          <w:lang w:val="zh-CN"/>
        </w:rPr>
        <w:t>委托人</w:t>
      </w:r>
      <w:r>
        <w:rPr>
          <w:rFonts w:ascii="宋体" w:hAnsi="宋体" w:eastAsia="宋体" w:cs="Times New Roman"/>
          <w:sz w:val="24"/>
          <w:lang w:val="zh-CN"/>
        </w:rPr>
        <w:t>事先书面同意，</w:t>
      </w:r>
      <w:r>
        <w:rPr>
          <w:rFonts w:hint="eastAsia" w:ascii="宋体" w:hAnsi="宋体" w:eastAsia="宋体" w:cs="Times New Roman"/>
          <w:sz w:val="24"/>
          <w:lang w:val="zh-CN"/>
        </w:rPr>
        <w:t>受托人</w:t>
      </w:r>
      <w:r>
        <w:rPr>
          <w:rFonts w:ascii="宋体" w:hAnsi="宋体" w:eastAsia="宋体" w:cs="Times New Roman"/>
          <w:sz w:val="24"/>
          <w:lang w:val="zh-CN"/>
        </w:rPr>
        <w:t>不得将由</w:t>
      </w:r>
      <w:r>
        <w:rPr>
          <w:rFonts w:hint="eastAsia" w:ascii="宋体" w:hAnsi="宋体" w:eastAsia="宋体" w:cs="Times New Roman"/>
          <w:sz w:val="24"/>
          <w:lang w:val="zh-CN"/>
        </w:rPr>
        <w:t>委托人</w:t>
      </w:r>
      <w:r>
        <w:rPr>
          <w:rFonts w:ascii="宋体" w:hAnsi="宋体" w:eastAsia="宋体" w:cs="Times New Roman"/>
          <w:sz w:val="24"/>
          <w:lang w:val="zh-CN"/>
        </w:rPr>
        <w:t>提供的有关合同或任何合同条文、计划、图纸精细化、样品或资料提供给</w:t>
      </w:r>
      <w:r>
        <w:rPr>
          <w:rFonts w:hint="eastAsia" w:ascii="宋体" w:hAnsi="宋体" w:eastAsia="宋体" w:cs="Times New Roman"/>
          <w:sz w:val="24"/>
          <w:lang w:val="zh-CN"/>
        </w:rPr>
        <w:t>受托人</w:t>
      </w:r>
      <w:r>
        <w:rPr>
          <w:rFonts w:ascii="宋体" w:hAnsi="宋体" w:eastAsia="宋体" w:cs="Times New Roman"/>
          <w:sz w:val="24"/>
          <w:lang w:val="zh-CN"/>
        </w:rPr>
        <w:t>雇佣于履行本合同以外的任何其他人。即使向本合同的雇员提供，也应注意保密并限于履行合同必须的范围。</w:t>
      </w:r>
    </w:p>
    <w:p w14:paraId="09970B0B">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4.2 没有</w:t>
      </w:r>
      <w:r>
        <w:rPr>
          <w:rFonts w:hint="eastAsia" w:ascii="宋体" w:hAnsi="宋体" w:eastAsia="宋体" w:cs="Times New Roman"/>
          <w:sz w:val="24"/>
          <w:lang w:val="zh-CN"/>
        </w:rPr>
        <w:t>委托人</w:t>
      </w:r>
      <w:r>
        <w:rPr>
          <w:rFonts w:ascii="宋体" w:hAnsi="宋体" w:eastAsia="宋体" w:cs="Times New Roman"/>
          <w:sz w:val="24"/>
          <w:lang w:val="zh-CN"/>
        </w:rPr>
        <w:t>事先书面同意，除了履行本合同之外，</w:t>
      </w:r>
      <w:r>
        <w:rPr>
          <w:rFonts w:hint="eastAsia" w:ascii="宋体" w:hAnsi="宋体" w:eastAsia="宋体" w:cs="Times New Roman"/>
          <w:sz w:val="24"/>
          <w:lang w:val="zh-CN"/>
        </w:rPr>
        <w:t>受托人</w:t>
      </w:r>
      <w:r>
        <w:rPr>
          <w:rFonts w:ascii="宋体" w:hAnsi="宋体" w:eastAsia="宋体" w:cs="Times New Roman"/>
          <w:sz w:val="24"/>
          <w:lang w:val="zh-CN"/>
        </w:rPr>
        <w:t>不应使用本条款第4.1条所列举的任何文件和资料。</w:t>
      </w:r>
    </w:p>
    <w:p w14:paraId="028F5D45">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4.3 除了合同本身以外，本条款第4.1条所列举的任何文件是</w:t>
      </w:r>
      <w:r>
        <w:rPr>
          <w:rFonts w:hint="eastAsia" w:ascii="宋体" w:hAnsi="宋体" w:eastAsia="宋体" w:cs="Times New Roman"/>
          <w:sz w:val="24"/>
          <w:lang w:val="zh-CN"/>
        </w:rPr>
        <w:t>委托人</w:t>
      </w:r>
      <w:r>
        <w:rPr>
          <w:rFonts w:ascii="宋体" w:hAnsi="宋体" w:eastAsia="宋体" w:cs="Times New Roman"/>
          <w:sz w:val="24"/>
          <w:lang w:val="zh-CN"/>
        </w:rPr>
        <w:t>的财产。如果</w:t>
      </w:r>
      <w:r>
        <w:rPr>
          <w:rFonts w:hint="eastAsia" w:ascii="宋体" w:hAnsi="宋体" w:eastAsia="宋体" w:cs="Times New Roman"/>
          <w:sz w:val="24"/>
          <w:lang w:val="zh-CN"/>
        </w:rPr>
        <w:t>委托人</w:t>
      </w:r>
      <w:r>
        <w:rPr>
          <w:rFonts w:ascii="宋体" w:hAnsi="宋体" w:eastAsia="宋体" w:cs="Times New Roman"/>
          <w:sz w:val="24"/>
          <w:lang w:val="zh-CN"/>
        </w:rPr>
        <w:t>有要求，</w:t>
      </w:r>
      <w:r>
        <w:rPr>
          <w:rFonts w:hint="eastAsia" w:ascii="宋体" w:hAnsi="宋体" w:eastAsia="宋体" w:cs="Times New Roman"/>
          <w:sz w:val="24"/>
          <w:lang w:val="zh-CN"/>
        </w:rPr>
        <w:t>受托人</w:t>
      </w:r>
      <w:r>
        <w:rPr>
          <w:rFonts w:ascii="宋体" w:hAnsi="宋体" w:eastAsia="宋体" w:cs="Times New Roman"/>
          <w:sz w:val="24"/>
          <w:lang w:val="zh-CN"/>
        </w:rPr>
        <w:t>在完成合同后应将这些文件（包含全部拷贝）还给</w:t>
      </w:r>
      <w:r>
        <w:rPr>
          <w:rFonts w:hint="eastAsia" w:ascii="宋体" w:hAnsi="宋体" w:eastAsia="宋体" w:cs="Times New Roman"/>
          <w:sz w:val="24"/>
          <w:lang w:val="zh-CN"/>
        </w:rPr>
        <w:t>委托人</w:t>
      </w:r>
      <w:r>
        <w:rPr>
          <w:rFonts w:ascii="宋体" w:hAnsi="宋体" w:eastAsia="宋体" w:cs="Times New Roman"/>
          <w:sz w:val="24"/>
          <w:lang w:val="zh-CN"/>
        </w:rPr>
        <w:t>。</w:t>
      </w:r>
    </w:p>
    <w:p w14:paraId="50F9E35A">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5、知识产权</w:t>
      </w:r>
    </w:p>
    <w:p w14:paraId="1D93D1E3">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rPr>
        <w:t xml:space="preserve">5.1 </w:t>
      </w:r>
      <w:r>
        <w:rPr>
          <w:rFonts w:hint="eastAsia" w:ascii="宋体" w:hAnsi="宋体" w:eastAsia="宋体" w:cs="Times New Roman"/>
          <w:sz w:val="24"/>
          <w:lang w:val="zh-CN"/>
        </w:rPr>
        <w:t>受托人</w:t>
      </w:r>
      <w:r>
        <w:rPr>
          <w:rFonts w:ascii="宋体" w:hAnsi="宋体" w:eastAsia="宋体" w:cs="Times New Roman"/>
          <w:sz w:val="24"/>
          <w:lang w:val="zh-CN"/>
        </w:rPr>
        <w:t>应保证，</w:t>
      </w:r>
      <w:r>
        <w:rPr>
          <w:rFonts w:hint="eastAsia" w:ascii="宋体" w:hAnsi="宋体" w:eastAsia="宋体" w:cs="Times New Roman"/>
          <w:sz w:val="24"/>
          <w:lang w:val="zh-CN"/>
        </w:rPr>
        <w:t>受托人</w:t>
      </w:r>
      <w:r>
        <w:rPr>
          <w:rFonts w:ascii="宋体" w:hAnsi="宋体" w:eastAsia="宋体" w:cs="Times New Roman"/>
          <w:sz w:val="24"/>
          <w:lang w:val="zh-CN"/>
        </w:rPr>
        <w:t>提供的成果或服务，使用第三人专利、专有技术、技术秘密、商业秘密、著作权、商标权等知识产权的，</w:t>
      </w:r>
      <w:r>
        <w:rPr>
          <w:rFonts w:hint="eastAsia" w:ascii="宋体" w:hAnsi="宋体" w:eastAsia="宋体" w:cs="Times New Roman"/>
          <w:sz w:val="24"/>
          <w:lang w:val="zh-CN"/>
        </w:rPr>
        <w:t>受托人</w:t>
      </w:r>
      <w:r>
        <w:rPr>
          <w:rFonts w:ascii="宋体" w:hAnsi="宋体" w:eastAsia="宋体" w:cs="Times New Roman"/>
          <w:sz w:val="24"/>
          <w:lang w:val="zh-CN"/>
        </w:rPr>
        <w:t>应向</w:t>
      </w:r>
      <w:r>
        <w:rPr>
          <w:rFonts w:hint="eastAsia" w:ascii="宋体" w:hAnsi="宋体" w:eastAsia="宋体" w:cs="Times New Roman"/>
          <w:sz w:val="24"/>
          <w:lang w:val="zh-CN"/>
        </w:rPr>
        <w:t>委托人</w:t>
      </w:r>
      <w:r>
        <w:rPr>
          <w:rFonts w:ascii="宋体" w:hAnsi="宋体" w:eastAsia="宋体" w:cs="Times New Roman"/>
          <w:sz w:val="24"/>
          <w:lang w:val="zh-CN"/>
        </w:rPr>
        <w:t>说明知识产权的权利人、名称等权利状况，相应知识产权使用费由</w:t>
      </w:r>
      <w:r>
        <w:rPr>
          <w:rFonts w:hint="eastAsia" w:ascii="宋体" w:hAnsi="宋体" w:eastAsia="宋体" w:cs="Times New Roman"/>
          <w:sz w:val="24"/>
          <w:lang w:val="zh-CN"/>
        </w:rPr>
        <w:t>受托人</w:t>
      </w:r>
      <w:r>
        <w:rPr>
          <w:rFonts w:ascii="宋体" w:hAnsi="宋体" w:eastAsia="宋体" w:cs="Times New Roman"/>
          <w:sz w:val="24"/>
          <w:lang w:val="zh-CN"/>
        </w:rPr>
        <w:t>负责支付。</w:t>
      </w:r>
    </w:p>
    <w:p w14:paraId="4AE7A1F1">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5.2 </w:t>
      </w:r>
      <w:r>
        <w:rPr>
          <w:rFonts w:hint="eastAsia" w:ascii="宋体" w:hAnsi="宋体" w:eastAsia="宋体" w:cs="Times New Roman"/>
          <w:sz w:val="24"/>
          <w:lang w:val="zh-CN"/>
        </w:rPr>
        <w:t>受托人</w:t>
      </w:r>
      <w:r>
        <w:rPr>
          <w:rFonts w:ascii="宋体" w:hAnsi="宋体" w:eastAsia="宋体" w:cs="Times New Roman"/>
          <w:sz w:val="24"/>
          <w:lang w:val="zh-CN"/>
        </w:rPr>
        <w:t>提供的成果或服务，侵犯了第三人专利、专有技术、技术秘密、商业秘密、著作权、商标权等知识产权的，由</w:t>
      </w:r>
      <w:r>
        <w:rPr>
          <w:rFonts w:hint="eastAsia" w:ascii="宋体" w:hAnsi="宋体" w:eastAsia="宋体" w:cs="Times New Roman"/>
          <w:sz w:val="24"/>
          <w:lang w:val="zh-CN"/>
        </w:rPr>
        <w:t>受托人</w:t>
      </w:r>
      <w:r>
        <w:rPr>
          <w:rFonts w:ascii="宋体" w:hAnsi="宋体" w:eastAsia="宋体" w:cs="Times New Roman"/>
          <w:sz w:val="24"/>
          <w:lang w:val="zh-CN"/>
        </w:rPr>
        <w:t>承担全部法律责任和经济赔偿责任。</w:t>
      </w:r>
    </w:p>
    <w:p w14:paraId="333C8866">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5.3 对于</w:t>
      </w:r>
      <w:r>
        <w:rPr>
          <w:rFonts w:hint="eastAsia" w:ascii="宋体" w:hAnsi="宋体" w:eastAsia="宋体" w:cs="Times New Roman"/>
          <w:sz w:val="24"/>
          <w:lang w:val="zh-CN"/>
        </w:rPr>
        <w:t>受托人</w:t>
      </w:r>
      <w:r>
        <w:rPr>
          <w:rFonts w:ascii="宋体" w:hAnsi="宋体" w:eastAsia="宋体" w:cs="Times New Roman"/>
          <w:sz w:val="24"/>
          <w:lang w:val="zh-CN"/>
        </w:rPr>
        <w:t>所编制的所有文件，</w:t>
      </w:r>
      <w:r>
        <w:rPr>
          <w:rFonts w:hint="eastAsia" w:ascii="宋体" w:hAnsi="宋体" w:eastAsia="宋体" w:cs="Times New Roman"/>
          <w:sz w:val="24"/>
          <w:lang w:val="zh-CN"/>
        </w:rPr>
        <w:t>委托人</w:t>
      </w:r>
      <w:r>
        <w:rPr>
          <w:rFonts w:ascii="宋体" w:hAnsi="宋体" w:eastAsia="宋体" w:cs="Times New Roman"/>
          <w:sz w:val="24"/>
          <w:lang w:val="zh-CN"/>
        </w:rPr>
        <w:t>有权在本工程或相关目的的使用或复制此类文件，在此情况下复制此类文件时不需取得</w:t>
      </w:r>
      <w:r>
        <w:rPr>
          <w:rFonts w:hint="eastAsia" w:ascii="宋体" w:hAnsi="宋体" w:eastAsia="宋体" w:cs="Times New Roman"/>
          <w:sz w:val="24"/>
          <w:lang w:val="zh-CN"/>
        </w:rPr>
        <w:t>受托人</w:t>
      </w:r>
      <w:r>
        <w:rPr>
          <w:rFonts w:ascii="宋体" w:hAnsi="宋体" w:eastAsia="宋体" w:cs="Times New Roman"/>
          <w:sz w:val="24"/>
          <w:lang w:val="zh-CN"/>
        </w:rPr>
        <w:t>的许可。</w:t>
      </w:r>
    </w:p>
    <w:p w14:paraId="34496F79">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5.4 </w:t>
      </w:r>
      <w:r>
        <w:rPr>
          <w:rFonts w:hint="eastAsia" w:ascii="宋体" w:hAnsi="宋体" w:eastAsia="宋体" w:cs="Times New Roman"/>
          <w:sz w:val="24"/>
          <w:lang w:val="zh-CN"/>
        </w:rPr>
        <w:t>受托人</w:t>
      </w:r>
      <w:r>
        <w:rPr>
          <w:rFonts w:ascii="宋体" w:hAnsi="宋体" w:eastAsia="宋体" w:cs="Times New Roman"/>
          <w:sz w:val="24"/>
          <w:lang w:val="zh-CN"/>
        </w:rPr>
        <w:t>可单独或与他人联合出版有关项目和服务的材料。但如果服务完成或终止后的二年内出版有关材料时，则需得到</w:t>
      </w:r>
      <w:r>
        <w:rPr>
          <w:rFonts w:hint="eastAsia" w:ascii="宋体" w:hAnsi="宋体" w:eastAsia="宋体" w:cs="Times New Roman"/>
          <w:sz w:val="24"/>
          <w:lang w:val="zh-CN"/>
        </w:rPr>
        <w:t>委托人</w:t>
      </w:r>
      <w:r>
        <w:rPr>
          <w:rFonts w:ascii="宋体" w:hAnsi="宋体" w:eastAsia="宋体" w:cs="Times New Roman"/>
          <w:sz w:val="24"/>
          <w:lang w:val="zh-CN"/>
        </w:rPr>
        <w:t>的同意。</w:t>
      </w:r>
    </w:p>
    <w:p w14:paraId="00463433">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6、检查和验收</w:t>
      </w:r>
    </w:p>
    <w:p w14:paraId="204D47B2">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rPr>
        <w:t xml:space="preserve">6.1 </w:t>
      </w:r>
      <w:r>
        <w:rPr>
          <w:rFonts w:hint="eastAsia" w:ascii="宋体" w:hAnsi="宋体" w:eastAsia="宋体" w:cs="Times New Roman"/>
          <w:sz w:val="24"/>
          <w:lang w:val="zh-CN"/>
        </w:rPr>
        <w:t>受托人</w:t>
      </w:r>
      <w:r>
        <w:rPr>
          <w:rFonts w:ascii="宋体" w:hAnsi="宋体" w:eastAsia="宋体" w:cs="Times New Roman"/>
          <w:sz w:val="24"/>
          <w:lang w:val="zh-CN"/>
        </w:rPr>
        <w:t>应接受</w:t>
      </w:r>
      <w:r>
        <w:rPr>
          <w:rFonts w:hint="eastAsia" w:ascii="宋体" w:hAnsi="宋体" w:eastAsia="宋体" w:cs="Times New Roman"/>
          <w:sz w:val="24"/>
          <w:lang w:val="zh-CN"/>
        </w:rPr>
        <w:t>委托人</w:t>
      </w:r>
      <w:r>
        <w:rPr>
          <w:rFonts w:ascii="宋体" w:hAnsi="宋体" w:eastAsia="宋体" w:cs="Times New Roman"/>
          <w:sz w:val="24"/>
          <w:lang w:val="zh-CN"/>
        </w:rPr>
        <w:t>或其代表对成果和服务的检查和验收，服从</w:t>
      </w:r>
      <w:r>
        <w:rPr>
          <w:rFonts w:hint="eastAsia" w:ascii="宋体" w:hAnsi="宋体" w:eastAsia="宋体" w:cs="Times New Roman"/>
          <w:sz w:val="24"/>
          <w:lang w:val="zh-CN"/>
        </w:rPr>
        <w:t>委托人</w:t>
      </w:r>
      <w:r>
        <w:rPr>
          <w:rFonts w:ascii="宋体" w:hAnsi="宋体" w:eastAsia="宋体" w:cs="Times New Roman"/>
          <w:sz w:val="24"/>
          <w:lang w:val="zh-CN"/>
        </w:rPr>
        <w:t>或其代表的质量检验和监督。</w:t>
      </w:r>
    </w:p>
    <w:p w14:paraId="4FC42FDC">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6.2 本节的规定无论如何也不能免除</w:t>
      </w:r>
      <w:r>
        <w:rPr>
          <w:rFonts w:hint="eastAsia" w:ascii="宋体" w:hAnsi="宋体" w:eastAsia="宋体" w:cs="Times New Roman"/>
          <w:sz w:val="24"/>
          <w:lang w:val="zh-CN"/>
        </w:rPr>
        <w:t>受托人</w:t>
      </w:r>
      <w:r>
        <w:rPr>
          <w:rFonts w:ascii="宋体" w:hAnsi="宋体" w:eastAsia="宋体" w:cs="Times New Roman"/>
          <w:sz w:val="24"/>
          <w:lang w:val="zh-CN"/>
        </w:rPr>
        <w:t>在本合同项下的保证义务或其他义务。</w:t>
      </w:r>
    </w:p>
    <w:p w14:paraId="346CFBFD">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7、保险</w:t>
      </w:r>
    </w:p>
    <w:p w14:paraId="540BF66B">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rPr>
        <w:t xml:space="preserve">7.1 </w:t>
      </w:r>
      <w:r>
        <w:rPr>
          <w:rFonts w:hint="eastAsia" w:ascii="宋体" w:hAnsi="宋体" w:eastAsia="宋体" w:cs="Times New Roman"/>
          <w:sz w:val="24"/>
          <w:lang w:val="zh-CN"/>
        </w:rPr>
        <w:t>受托人</w:t>
      </w:r>
      <w:r>
        <w:rPr>
          <w:rFonts w:ascii="宋体" w:hAnsi="宋体" w:eastAsia="宋体" w:cs="Times New Roman"/>
          <w:sz w:val="24"/>
          <w:lang w:val="zh-CN"/>
        </w:rPr>
        <w:t>采用在本合同条件下，应对成果和服务可能出现的损失、人员伤亡及第三者责任险全面保险。</w:t>
      </w:r>
      <w:r>
        <w:rPr>
          <w:rFonts w:hint="eastAsia" w:ascii="宋体" w:hAnsi="宋体" w:eastAsia="宋体" w:cs="Times New Roman"/>
          <w:sz w:val="24"/>
          <w:lang w:val="zh-CN"/>
        </w:rPr>
        <w:t>受托人</w:t>
      </w:r>
      <w:r>
        <w:rPr>
          <w:rFonts w:ascii="宋体" w:hAnsi="宋体" w:eastAsia="宋体" w:cs="Times New Roman"/>
          <w:sz w:val="24"/>
          <w:lang w:val="zh-CN"/>
        </w:rPr>
        <w:t>为执行本合同规定任务，所发生的保险费用由</w:t>
      </w:r>
      <w:r>
        <w:rPr>
          <w:rFonts w:hint="eastAsia" w:ascii="宋体" w:hAnsi="宋体" w:eastAsia="宋体" w:cs="Times New Roman"/>
          <w:sz w:val="24"/>
          <w:lang w:val="zh-CN"/>
        </w:rPr>
        <w:t>受托人</w:t>
      </w:r>
      <w:r>
        <w:rPr>
          <w:rFonts w:ascii="宋体" w:hAnsi="宋体" w:eastAsia="宋体" w:cs="Times New Roman"/>
          <w:sz w:val="24"/>
          <w:lang w:val="zh-CN"/>
        </w:rPr>
        <w:t>负责承担。</w:t>
      </w:r>
    </w:p>
    <w:p w14:paraId="69F95B15">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8、保证</w:t>
      </w:r>
    </w:p>
    <w:p w14:paraId="1E282A45">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rPr>
        <w:t xml:space="preserve">8.1 </w:t>
      </w:r>
      <w:r>
        <w:rPr>
          <w:rFonts w:hint="eastAsia" w:ascii="宋体" w:hAnsi="宋体" w:eastAsia="宋体" w:cs="Times New Roman"/>
          <w:sz w:val="24"/>
          <w:lang w:val="zh-CN"/>
        </w:rPr>
        <w:t>受托人</w:t>
      </w:r>
      <w:r>
        <w:rPr>
          <w:rFonts w:ascii="宋体" w:hAnsi="宋体" w:eastAsia="宋体" w:cs="Times New Roman"/>
          <w:sz w:val="24"/>
          <w:lang w:val="zh-CN"/>
        </w:rPr>
        <w:t>应对</w:t>
      </w:r>
      <w:r>
        <w:rPr>
          <w:rFonts w:hint="eastAsia" w:ascii="宋体" w:hAnsi="宋体" w:eastAsia="宋体" w:cs="Times New Roman"/>
          <w:sz w:val="24"/>
          <w:lang w:val="zh-CN"/>
        </w:rPr>
        <w:t>设计咨询服务</w:t>
      </w:r>
      <w:r>
        <w:rPr>
          <w:rFonts w:ascii="宋体" w:hAnsi="宋体" w:eastAsia="宋体" w:cs="Times New Roman"/>
          <w:sz w:val="24"/>
          <w:lang w:val="zh-CN"/>
        </w:rPr>
        <w:t>服务等建立完整的有效的质量保证体系</w:t>
      </w:r>
      <w:r>
        <w:rPr>
          <w:rFonts w:hint="eastAsia" w:ascii="宋体" w:hAnsi="宋体" w:eastAsia="宋体" w:cs="Times New Roman"/>
          <w:sz w:val="24"/>
          <w:lang w:val="zh-CN"/>
        </w:rPr>
        <w:t>、台账</w:t>
      </w:r>
      <w:r>
        <w:rPr>
          <w:rFonts w:ascii="宋体" w:hAnsi="宋体" w:eastAsia="宋体" w:cs="Times New Roman"/>
          <w:sz w:val="24"/>
          <w:lang w:val="zh-CN"/>
        </w:rPr>
        <w:t>，制定质量保证计划，并坚持实施，确保项目之质量。</w:t>
      </w:r>
    </w:p>
    <w:p w14:paraId="05EA534A">
      <w:pPr>
        <w:autoSpaceDE w:val="0"/>
        <w:autoSpaceDN w:val="0"/>
        <w:adjustRightInd w:val="0"/>
        <w:snapToGrid w:val="0"/>
        <w:spacing w:line="360" w:lineRule="auto"/>
        <w:ind w:left="480"/>
        <w:rPr>
          <w:rFonts w:hint="eastAsia" w:ascii="宋体" w:hAnsi="宋体" w:eastAsia="宋体" w:cs="Times New Roman"/>
          <w:sz w:val="24"/>
          <w:lang w:val="zh-CN"/>
        </w:rPr>
      </w:pPr>
      <w:r>
        <w:rPr>
          <w:rFonts w:ascii="宋体" w:hAnsi="宋体" w:eastAsia="宋体" w:cs="Times New Roman"/>
          <w:sz w:val="24"/>
          <w:lang w:val="zh-CN"/>
        </w:rPr>
        <w:t xml:space="preserve">8.2 </w:t>
      </w:r>
      <w:r>
        <w:rPr>
          <w:rFonts w:hint="eastAsia" w:ascii="宋体" w:hAnsi="宋体" w:eastAsia="宋体" w:cs="Times New Roman"/>
          <w:sz w:val="24"/>
          <w:lang w:val="zh-CN"/>
        </w:rPr>
        <w:t>受托人</w:t>
      </w:r>
      <w:r>
        <w:rPr>
          <w:rFonts w:ascii="宋体" w:hAnsi="宋体" w:eastAsia="宋体" w:cs="Times New Roman"/>
          <w:sz w:val="24"/>
          <w:lang w:val="zh-CN"/>
        </w:rPr>
        <w:t>应保证合同项下所供成果和服务与“</w:t>
      </w:r>
      <w:r>
        <w:rPr>
          <w:rFonts w:hint="eastAsia" w:ascii="宋体" w:hAnsi="宋体" w:eastAsia="宋体" w:cs="Times New Roman"/>
          <w:sz w:val="24"/>
        </w:rPr>
        <w:t>招标文件</w:t>
      </w:r>
      <w:r>
        <w:rPr>
          <w:rFonts w:ascii="宋体" w:hAnsi="宋体" w:eastAsia="宋体" w:cs="Times New Roman"/>
          <w:sz w:val="24"/>
          <w:lang w:val="zh-CN"/>
        </w:rPr>
        <w:t>”的规定一致。</w:t>
      </w:r>
    </w:p>
    <w:p w14:paraId="0989F688">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8.3 </w:t>
      </w:r>
      <w:r>
        <w:rPr>
          <w:rFonts w:hint="eastAsia" w:ascii="宋体" w:hAnsi="宋体" w:eastAsia="宋体" w:cs="Times New Roman"/>
          <w:sz w:val="24"/>
          <w:lang w:val="zh-CN"/>
        </w:rPr>
        <w:t>受托人</w:t>
      </w:r>
      <w:r>
        <w:rPr>
          <w:rFonts w:ascii="宋体" w:hAnsi="宋体" w:eastAsia="宋体" w:cs="Times New Roman"/>
          <w:sz w:val="24"/>
          <w:lang w:val="zh-CN"/>
        </w:rPr>
        <w:t>应保证合同项下的成果和服务在正常情况下不会因</w:t>
      </w:r>
      <w:r>
        <w:rPr>
          <w:rFonts w:hint="eastAsia" w:ascii="宋体" w:hAnsi="宋体" w:eastAsia="宋体" w:cs="Times New Roman"/>
          <w:sz w:val="24"/>
          <w:lang w:val="zh-CN"/>
        </w:rPr>
        <w:t>受托人</w:t>
      </w:r>
      <w:r>
        <w:rPr>
          <w:rFonts w:ascii="宋体" w:hAnsi="宋体" w:eastAsia="宋体" w:cs="Times New Roman"/>
          <w:sz w:val="24"/>
          <w:lang w:val="zh-CN"/>
        </w:rPr>
        <w:t>在</w:t>
      </w:r>
      <w:r>
        <w:rPr>
          <w:rFonts w:hint="eastAsia" w:ascii="宋体" w:hAnsi="宋体" w:eastAsia="宋体" w:cs="Times New Roman"/>
          <w:sz w:val="24"/>
          <w:lang w:val="zh-CN"/>
        </w:rPr>
        <w:t>设计咨询服务</w:t>
      </w:r>
      <w:r>
        <w:rPr>
          <w:rFonts w:ascii="宋体" w:hAnsi="宋体" w:eastAsia="宋体" w:cs="Times New Roman"/>
          <w:sz w:val="24"/>
          <w:lang w:val="zh-CN"/>
        </w:rPr>
        <w:t>服务过程中的缺陷、错误或工作人员的过失、错误或疏忽而导致</w:t>
      </w:r>
      <w:r>
        <w:rPr>
          <w:rFonts w:hint="eastAsia" w:ascii="宋体" w:hAnsi="宋体" w:eastAsia="宋体" w:cs="Times New Roman"/>
          <w:sz w:val="24"/>
          <w:lang w:val="zh-CN"/>
        </w:rPr>
        <w:t>委托人</w:t>
      </w:r>
      <w:r>
        <w:rPr>
          <w:rFonts w:ascii="宋体" w:hAnsi="宋体" w:eastAsia="宋体" w:cs="Times New Roman"/>
          <w:sz w:val="24"/>
          <w:lang w:val="zh-CN"/>
        </w:rPr>
        <w:t>的损失。</w:t>
      </w:r>
    </w:p>
    <w:p w14:paraId="0CC37F2C">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8.4 </w:t>
      </w:r>
      <w:r>
        <w:rPr>
          <w:rFonts w:hint="eastAsia" w:ascii="宋体" w:hAnsi="宋体" w:eastAsia="宋体" w:cs="Times New Roman"/>
          <w:sz w:val="24"/>
          <w:lang w:val="zh-CN"/>
        </w:rPr>
        <w:t>受托人</w:t>
      </w:r>
      <w:r>
        <w:rPr>
          <w:rFonts w:ascii="宋体" w:hAnsi="宋体" w:eastAsia="宋体" w:cs="Times New Roman"/>
          <w:sz w:val="24"/>
          <w:lang w:val="zh-CN"/>
        </w:rPr>
        <w:t>应保证若由于</w:t>
      </w:r>
      <w:r>
        <w:rPr>
          <w:rFonts w:hint="eastAsia" w:ascii="宋体" w:hAnsi="宋体" w:eastAsia="宋体" w:cs="Times New Roman"/>
          <w:sz w:val="24"/>
          <w:lang w:val="zh-CN"/>
        </w:rPr>
        <w:t>受托人</w:t>
      </w:r>
      <w:r>
        <w:rPr>
          <w:rFonts w:ascii="宋体" w:hAnsi="宋体" w:eastAsia="宋体" w:cs="Times New Roman"/>
          <w:sz w:val="24"/>
          <w:lang w:val="zh-CN"/>
        </w:rPr>
        <w:t>的成果和服务的潜在缺陷而导致的事故，所有因此造成的损失</w:t>
      </w:r>
      <w:r>
        <w:rPr>
          <w:rFonts w:hint="eastAsia" w:ascii="宋体" w:hAnsi="宋体" w:eastAsia="宋体" w:cs="Times New Roman"/>
          <w:sz w:val="24"/>
          <w:lang w:val="zh-CN"/>
        </w:rPr>
        <w:t>受托人</w:t>
      </w:r>
      <w:r>
        <w:rPr>
          <w:rFonts w:ascii="宋体" w:hAnsi="宋体" w:eastAsia="宋体" w:cs="Times New Roman"/>
          <w:sz w:val="24"/>
          <w:lang w:val="zh-CN"/>
        </w:rPr>
        <w:t>应负相应责任。</w:t>
      </w:r>
    </w:p>
    <w:p w14:paraId="42F28490">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8.5 </w:t>
      </w:r>
      <w:r>
        <w:rPr>
          <w:rFonts w:hint="eastAsia" w:ascii="宋体" w:hAnsi="宋体" w:eastAsia="宋体" w:cs="Times New Roman"/>
          <w:sz w:val="24"/>
          <w:lang w:val="zh-CN"/>
        </w:rPr>
        <w:t>受托人</w:t>
      </w:r>
      <w:r>
        <w:rPr>
          <w:rFonts w:ascii="宋体" w:hAnsi="宋体" w:eastAsia="宋体" w:cs="Times New Roman"/>
          <w:sz w:val="24"/>
          <w:lang w:val="zh-CN"/>
        </w:rPr>
        <w:t>保证给予</w:t>
      </w:r>
      <w:r>
        <w:rPr>
          <w:rFonts w:hint="eastAsia" w:ascii="宋体" w:hAnsi="宋体" w:eastAsia="宋体" w:cs="Times New Roman"/>
          <w:sz w:val="24"/>
          <w:lang w:val="zh-CN"/>
        </w:rPr>
        <w:t>委托人</w:t>
      </w:r>
      <w:r>
        <w:rPr>
          <w:rFonts w:ascii="宋体" w:hAnsi="宋体" w:eastAsia="宋体" w:cs="Times New Roman"/>
          <w:sz w:val="24"/>
          <w:lang w:val="zh-CN"/>
        </w:rPr>
        <w:t>或</w:t>
      </w:r>
      <w:r>
        <w:rPr>
          <w:rFonts w:hint="eastAsia" w:ascii="宋体" w:hAnsi="宋体" w:eastAsia="宋体" w:cs="Times New Roman"/>
          <w:sz w:val="24"/>
          <w:lang w:val="zh-CN"/>
        </w:rPr>
        <w:t>委托人</w:t>
      </w:r>
      <w:r>
        <w:rPr>
          <w:rFonts w:ascii="宋体" w:hAnsi="宋体" w:eastAsia="宋体" w:cs="Times New Roman"/>
          <w:sz w:val="24"/>
          <w:lang w:val="zh-CN"/>
        </w:rPr>
        <w:t>许可人员在</w:t>
      </w:r>
      <w:r>
        <w:rPr>
          <w:rFonts w:hint="eastAsia" w:ascii="宋体" w:hAnsi="宋体" w:eastAsia="宋体" w:cs="Times New Roman"/>
          <w:sz w:val="24"/>
          <w:lang w:val="zh-CN"/>
        </w:rPr>
        <w:t>受托人</w:t>
      </w:r>
      <w:r>
        <w:rPr>
          <w:rFonts w:ascii="宋体" w:hAnsi="宋体" w:eastAsia="宋体" w:cs="Times New Roman"/>
          <w:sz w:val="24"/>
          <w:lang w:val="zh-CN"/>
        </w:rPr>
        <w:t>工作地检查其质保体系和工作流程的任一环节提供方便。</w:t>
      </w:r>
    </w:p>
    <w:p w14:paraId="6CD47063">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9、价格</w:t>
      </w:r>
    </w:p>
    <w:p w14:paraId="2CE86B45">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rPr>
        <w:t xml:space="preserve">9.1 </w:t>
      </w:r>
      <w:r>
        <w:rPr>
          <w:rFonts w:ascii="宋体" w:hAnsi="宋体" w:eastAsia="宋体" w:cs="Times New Roman"/>
          <w:sz w:val="24"/>
          <w:lang w:val="zh-CN"/>
        </w:rPr>
        <w:t>合同价格包含为履行本合同而提供的</w:t>
      </w:r>
      <w:r>
        <w:rPr>
          <w:rFonts w:hint="eastAsia" w:ascii="宋体" w:hAnsi="宋体" w:eastAsia="宋体" w:cs="Times New Roman"/>
          <w:sz w:val="24"/>
          <w:lang w:val="zh-CN"/>
        </w:rPr>
        <w:t>设计咨询服务</w:t>
      </w:r>
      <w:r>
        <w:rPr>
          <w:rFonts w:ascii="宋体" w:hAnsi="宋体" w:eastAsia="宋体" w:cs="Times New Roman"/>
          <w:sz w:val="24"/>
          <w:lang w:val="zh-CN"/>
        </w:rPr>
        <w:t>成果和相关服务的费用及由</w:t>
      </w:r>
      <w:r>
        <w:rPr>
          <w:rFonts w:hint="eastAsia" w:ascii="宋体" w:hAnsi="宋体" w:eastAsia="宋体" w:cs="Times New Roman"/>
          <w:sz w:val="24"/>
          <w:lang w:val="zh-CN"/>
        </w:rPr>
        <w:t>受托人</w:t>
      </w:r>
      <w:r>
        <w:rPr>
          <w:rFonts w:ascii="宋体" w:hAnsi="宋体" w:eastAsia="宋体" w:cs="Times New Roman"/>
          <w:sz w:val="24"/>
          <w:lang w:val="zh-CN"/>
        </w:rPr>
        <w:t>为本项目支付的税费、保险费（包括合同文本的印刷费、公证费）等。</w:t>
      </w:r>
    </w:p>
    <w:p w14:paraId="6B67FFB8">
      <w:pPr>
        <w:autoSpaceDE w:val="0"/>
        <w:autoSpaceDN w:val="0"/>
        <w:adjustRightInd w:val="0"/>
        <w:snapToGrid w:val="0"/>
        <w:spacing w:line="360" w:lineRule="auto"/>
        <w:ind w:left="480"/>
        <w:rPr>
          <w:rFonts w:hint="eastAsia" w:ascii="宋体" w:hAnsi="宋体" w:eastAsia="宋体" w:cs="Times New Roman"/>
          <w:sz w:val="24"/>
          <w:lang w:val="zh-CN"/>
        </w:rPr>
      </w:pPr>
      <w:r>
        <w:rPr>
          <w:rFonts w:ascii="宋体" w:hAnsi="宋体" w:eastAsia="宋体" w:cs="Times New Roman"/>
          <w:sz w:val="24"/>
          <w:lang w:val="zh-CN"/>
        </w:rPr>
        <w:t>9.2 应当认为</w:t>
      </w:r>
      <w:r>
        <w:rPr>
          <w:rFonts w:hint="eastAsia" w:ascii="宋体" w:hAnsi="宋体" w:eastAsia="宋体" w:cs="Times New Roman"/>
          <w:sz w:val="24"/>
          <w:lang w:val="zh-CN"/>
        </w:rPr>
        <w:t>受托人</w:t>
      </w:r>
      <w:r>
        <w:rPr>
          <w:rFonts w:ascii="宋体" w:hAnsi="宋体" w:eastAsia="宋体" w:cs="Times New Roman"/>
          <w:sz w:val="24"/>
          <w:lang w:val="zh-CN"/>
        </w:rPr>
        <w:t>已经彻底查清，并在合同价格中充分考虑到了以下几项：</w:t>
      </w:r>
    </w:p>
    <w:p w14:paraId="0FCA24E4">
      <w:pPr>
        <w:tabs>
          <w:tab w:val="left" w:pos="993"/>
        </w:tabs>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9.2.1 影响到合同价格的全部条件和情况；</w:t>
      </w:r>
    </w:p>
    <w:p w14:paraId="58F5F9CC">
      <w:pPr>
        <w:tabs>
          <w:tab w:val="left" w:pos="993"/>
        </w:tabs>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9.2.2 完成合同所述项目的所有可能性(含规划的变动及工期的延展)；</w:t>
      </w:r>
    </w:p>
    <w:p w14:paraId="6F7CDF13">
      <w:pPr>
        <w:tabs>
          <w:tab w:val="left" w:pos="993"/>
        </w:tabs>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9.2.3 现场的综合情况；</w:t>
      </w:r>
    </w:p>
    <w:p w14:paraId="2486BF2F">
      <w:pPr>
        <w:tabs>
          <w:tab w:val="left" w:pos="993"/>
        </w:tabs>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9.2.4 现场总的劳务情况。</w:t>
      </w:r>
    </w:p>
    <w:p w14:paraId="60613B79">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9.3 除非合同中另有规定，</w:t>
      </w:r>
      <w:r>
        <w:rPr>
          <w:rFonts w:hint="eastAsia" w:ascii="宋体" w:hAnsi="宋体" w:eastAsia="宋体" w:cs="Times New Roman"/>
          <w:sz w:val="24"/>
          <w:lang w:val="zh-CN"/>
        </w:rPr>
        <w:t>受托人</w:t>
      </w:r>
      <w:r>
        <w:rPr>
          <w:rFonts w:ascii="宋体" w:hAnsi="宋体" w:eastAsia="宋体" w:cs="Times New Roman"/>
          <w:sz w:val="24"/>
          <w:lang w:val="zh-CN"/>
        </w:rPr>
        <w:t>为其履行本合同而要求</w:t>
      </w:r>
      <w:r>
        <w:rPr>
          <w:rFonts w:hint="eastAsia" w:ascii="宋体" w:hAnsi="宋体" w:eastAsia="宋体" w:cs="Times New Roman"/>
          <w:sz w:val="24"/>
          <w:lang w:val="zh-CN"/>
        </w:rPr>
        <w:t>委托人</w:t>
      </w:r>
      <w:r>
        <w:rPr>
          <w:rFonts w:ascii="宋体" w:hAnsi="宋体" w:eastAsia="宋体" w:cs="Times New Roman"/>
          <w:sz w:val="24"/>
          <w:lang w:val="zh-CN"/>
        </w:rPr>
        <w:t>支付的合同金额应与其投标报价一致。</w:t>
      </w:r>
    </w:p>
    <w:p w14:paraId="0D338327">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9.4 合同的结算和审计</w:t>
      </w:r>
    </w:p>
    <w:p w14:paraId="0C3B1BC1">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9.4.1 </w:t>
      </w:r>
      <w:r>
        <w:rPr>
          <w:rFonts w:hint="eastAsia" w:ascii="宋体" w:hAnsi="宋体" w:eastAsia="宋体" w:cs="Times New Roman"/>
          <w:sz w:val="24"/>
          <w:lang w:val="zh-CN"/>
        </w:rPr>
        <w:t>受托人</w:t>
      </w:r>
      <w:r>
        <w:rPr>
          <w:rFonts w:ascii="宋体" w:hAnsi="宋体" w:eastAsia="宋体" w:cs="Times New Roman"/>
          <w:sz w:val="24"/>
          <w:lang w:val="zh-CN"/>
        </w:rPr>
        <w:t>应在项目完成后1个月内按要求提交结算书及完整的结算资料。</w:t>
      </w:r>
    </w:p>
    <w:p w14:paraId="52A47183">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9.4.2 本项目结算须经政府有关部门审定</w:t>
      </w:r>
      <w:r>
        <w:rPr>
          <w:rFonts w:hint="eastAsia" w:ascii="宋体" w:hAnsi="宋体" w:eastAsia="宋体" w:cs="Times New Roman"/>
          <w:sz w:val="24"/>
          <w:lang w:val="zh-CN"/>
        </w:rPr>
        <w:t>的</w:t>
      </w:r>
      <w:r>
        <w:rPr>
          <w:rFonts w:ascii="宋体" w:hAnsi="宋体" w:eastAsia="宋体" w:cs="Times New Roman"/>
          <w:sz w:val="24"/>
          <w:lang w:val="zh-CN"/>
        </w:rPr>
        <w:t>，</w:t>
      </w:r>
      <w:r>
        <w:rPr>
          <w:rFonts w:hint="eastAsia" w:ascii="宋体" w:hAnsi="宋体" w:eastAsia="宋体" w:cs="Times New Roman"/>
          <w:sz w:val="24"/>
          <w:lang w:val="zh-CN"/>
        </w:rPr>
        <w:t>受托人</w:t>
      </w:r>
      <w:r>
        <w:rPr>
          <w:rFonts w:ascii="宋体" w:hAnsi="宋体" w:eastAsia="宋体" w:cs="Times New Roman"/>
          <w:sz w:val="24"/>
          <w:lang w:val="zh-CN"/>
        </w:rPr>
        <w:t>应配合</w:t>
      </w:r>
      <w:r>
        <w:rPr>
          <w:rFonts w:hint="eastAsia" w:ascii="宋体" w:hAnsi="宋体" w:eastAsia="宋体" w:cs="Times New Roman"/>
          <w:sz w:val="24"/>
          <w:lang w:val="zh-CN"/>
        </w:rPr>
        <w:t>委托人</w:t>
      </w:r>
      <w:r>
        <w:rPr>
          <w:rFonts w:ascii="宋体" w:hAnsi="宋体" w:eastAsia="宋体" w:cs="Times New Roman"/>
          <w:sz w:val="24"/>
          <w:lang w:val="zh-CN"/>
        </w:rPr>
        <w:t>完成政府有关部门的审计，经审定的价款为本合同结算价款。</w:t>
      </w:r>
    </w:p>
    <w:p w14:paraId="09A3837D">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9.4.3 </w:t>
      </w:r>
      <w:r>
        <w:rPr>
          <w:rFonts w:hint="eastAsia" w:ascii="宋体" w:hAnsi="宋体" w:eastAsia="宋体" w:cs="Times New Roman"/>
          <w:sz w:val="24"/>
          <w:lang w:val="zh-CN"/>
        </w:rPr>
        <w:t>受托人</w:t>
      </w:r>
      <w:r>
        <w:rPr>
          <w:rFonts w:ascii="宋体" w:hAnsi="宋体" w:eastAsia="宋体" w:cs="Times New Roman"/>
          <w:sz w:val="24"/>
          <w:lang w:val="zh-CN"/>
        </w:rPr>
        <w:t>不配合或提交虚假资料的，</w:t>
      </w:r>
      <w:r>
        <w:rPr>
          <w:rFonts w:hint="eastAsia" w:ascii="宋体" w:hAnsi="宋体" w:eastAsia="宋体" w:cs="Times New Roman"/>
          <w:sz w:val="24"/>
          <w:lang w:val="zh-CN"/>
        </w:rPr>
        <w:t>委托人</w:t>
      </w:r>
      <w:r>
        <w:rPr>
          <w:rFonts w:ascii="宋体" w:hAnsi="宋体" w:eastAsia="宋体" w:cs="Times New Roman"/>
          <w:sz w:val="24"/>
          <w:lang w:val="zh-CN"/>
        </w:rPr>
        <w:t>有权对</w:t>
      </w:r>
      <w:r>
        <w:rPr>
          <w:rFonts w:hint="eastAsia" w:ascii="宋体" w:hAnsi="宋体" w:eastAsia="宋体" w:cs="Times New Roman"/>
          <w:sz w:val="24"/>
          <w:lang w:val="zh-CN"/>
        </w:rPr>
        <w:t>受托人</w:t>
      </w:r>
      <w:r>
        <w:rPr>
          <w:rFonts w:ascii="宋体" w:hAnsi="宋体" w:eastAsia="宋体" w:cs="Times New Roman"/>
          <w:sz w:val="24"/>
          <w:lang w:val="zh-CN"/>
        </w:rPr>
        <w:t>进行违约处罚，违约金额为合同价的1%。</w:t>
      </w:r>
    </w:p>
    <w:p w14:paraId="60F7FE2B">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10、付款</w:t>
      </w:r>
    </w:p>
    <w:p w14:paraId="24DE9476">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rPr>
        <w:t xml:space="preserve">10.1 </w:t>
      </w:r>
      <w:r>
        <w:rPr>
          <w:rFonts w:ascii="宋体" w:hAnsi="宋体" w:eastAsia="宋体" w:cs="Times New Roman"/>
          <w:sz w:val="24"/>
          <w:lang w:val="zh-CN"/>
        </w:rPr>
        <w:t>按</w:t>
      </w:r>
      <w:r>
        <w:rPr>
          <w:rFonts w:hint="eastAsia" w:ascii="宋体" w:hAnsi="宋体" w:eastAsia="宋体" w:cs="Times New Roman"/>
          <w:sz w:val="24"/>
          <w:lang w:val="zh-CN"/>
        </w:rPr>
        <w:t>委托人</w:t>
      </w:r>
      <w:r>
        <w:rPr>
          <w:rFonts w:ascii="宋体" w:hAnsi="宋体" w:eastAsia="宋体" w:cs="Times New Roman"/>
          <w:sz w:val="24"/>
          <w:lang w:val="zh-CN"/>
        </w:rPr>
        <w:t>的有关的支付管理办法和计量支付程序办理。</w:t>
      </w:r>
    </w:p>
    <w:p w14:paraId="09F2285F">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10.2 </w:t>
      </w:r>
      <w:r>
        <w:rPr>
          <w:rFonts w:hint="eastAsia" w:ascii="宋体" w:hAnsi="宋体" w:eastAsia="宋体" w:cs="Times New Roman"/>
          <w:sz w:val="24"/>
          <w:lang w:val="zh-CN"/>
        </w:rPr>
        <w:t>委托人</w:t>
      </w:r>
      <w:r>
        <w:rPr>
          <w:rFonts w:ascii="宋体" w:hAnsi="宋体" w:eastAsia="宋体" w:cs="Times New Roman"/>
          <w:sz w:val="24"/>
          <w:lang w:val="zh-CN"/>
        </w:rPr>
        <w:t>应及时进行支付，不晚于</w:t>
      </w:r>
      <w:r>
        <w:rPr>
          <w:rFonts w:hint="eastAsia" w:ascii="宋体" w:hAnsi="宋体" w:eastAsia="宋体" w:cs="Times New Roman"/>
          <w:sz w:val="24"/>
          <w:lang w:val="zh-CN"/>
        </w:rPr>
        <w:t>受托人</w:t>
      </w:r>
      <w:r>
        <w:rPr>
          <w:rFonts w:ascii="宋体" w:hAnsi="宋体" w:eastAsia="宋体" w:cs="Times New Roman"/>
          <w:sz w:val="24"/>
          <w:lang w:val="zh-CN"/>
        </w:rPr>
        <w:t>提交合格发票和支付申请后六十（60）天内。</w:t>
      </w:r>
    </w:p>
    <w:p w14:paraId="2A036C27">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11、变更</w:t>
      </w:r>
    </w:p>
    <w:p w14:paraId="6058CB04">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11.1 </w:t>
      </w:r>
      <w:r>
        <w:rPr>
          <w:rFonts w:hint="eastAsia" w:ascii="宋体" w:hAnsi="宋体" w:eastAsia="宋体" w:cs="Times New Roman"/>
          <w:sz w:val="24"/>
          <w:lang w:val="zh-CN"/>
        </w:rPr>
        <w:t>委托人</w:t>
      </w:r>
      <w:r>
        <w:rPr>
          <w:rFonts w:ascii="宋体" w:hAnsi="宋体" w:eastAsia="宋体" w:cs="Times New Roman"/>
          <w:sz w:val="24"/>
          <w:lang w:val="zh-CN"/>
        </w:rPr>
        <w:t>可以在执行合同期间的任何时候书面向</w:t>
      </w:r>
      <w:r>
        <w:rPr>
          <w:rFonts w:hint="eastAsia" w:ascii="宋体" w:hAnsi="宋体" w:eastAsia="宋体" w:cs="Times New Roman"/>
          <w:sz w:val="24"/>
          <w:lang w:val="zh-CN"/>
        </w:rPr>
        <w:t>受托人</w:t>
      </w:r>
      <w:r>
        <w:rPr>
          <w:rFonts w:ascii="宋体" w:hAnsi="宋体" w:eastAsia="宋体" w:cs="Times New Roman"/>
          <w:sz w:val="24"/>
          <w:lang w:val="zh-CN"/>
        </w:rPr>
        <w:t>发出指令，在本合同的一般范围内对不限于下述内容进行变更：</w:t>
      </w:r>
    </w:p>
    <w:p w14:paraId="497130CB">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11.1.1 审图内容；</w:t>
      </w:r>
    </w:p>
    <w:p w14:paraId="1669BB82">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11.1.2 工期计划；</w:t>
      </w:r>
    </w:p>
    <w:p w14:paraId="714B22F2">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11.1.3 </w:t>
      </w:r>
      <w:r>
        <w:rPr>
          <w:rFonts w:hint="eastAsia" w:ascii="宋体" w:hAnsi="宋体" w:eastAsia="宋体" w:cs="Times New Roman"/>
          <w:sz w:val="24"/>
          <w:lang w:val="zh-CN"/>
        </w:rPr>
        <w:t>受托人</w:t>
      </w:r>
      <w:r>
        <w:rPr>
          <w:rFonts w:ascii="宋体" w:hAnsi="宋体" w:eastAsia="宋体" w:cs="Times New Roman"/>
          <w:sz w:val="24"/>
          <w:lang w:val="zh-CN"/>
        </w:rPr>
        <w:t>提供的服务。</w:t>
      </w:r>
    </w:p>
    <w:p w14:paraId="6A888B02">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11.2 若上述变更导致了</w:t>
      </w:r>
      <w:r>
        <w:rPr>
          <w:rFonts w:hint="eastAsia" w:ascii="宋体" w:hAnsi="宋体" w:eastAsia="宋体" w:cs="Times New Roman"/>
          <w:sz w:val="24"/>
          <w:lang w:val="zh-CN"/>
        </w:rPr>
        <w:t>受托人</w:t>
      </w:r>
      <w:r>
        <w:rPr>
          <w:rFonts w:ascii="宋体" w:hAnsi="宋体" w:eastAsia="宋体" w:cs="Times New Roman"/>
          <w:sz w:val="24"/>
          <w:lang w:val="zh-CN"/>
        </w:rPr>
        <w:t>履行合同义务的费用或所需时间的增加或减少，应对合同价格或进度或两者进行合理的调整，同时相应地修改合同。</w:t>
      </w:r>
      <w:r>
        <w:rPr>
          <w:rFonts w:hint="eastAsia" w:ascii="宋体" w:hAnsi="宋体" w:eastAsia="宋体" w:cs="Times New Roman"/>
          <w:sz w:val="24"/>
          <w:lang w:val="zh-CN"/>
        </w:rPr>
        <w:t>受托人</w:t>
      </w:r>
      <w:r>
        <w:rPr>
          <w:rFonts w:ascii="宋体" w:hAnsi="宋体" w:eastAsia="宋体" w:cs="Times New Roman"/>
          <w:sz w:val="24"/>
          <w:lang w:val="zh-CN"/>
        </w:rPr>
        <w:t>必须在接到</w:t>
      </w:r>
      <w:r>
        <w:rPr>
          <w:rFonts w:hint="eastAsia" w:ascii="宋体" w:hAnsi="宋体" w:eastAsia="宋体" w:cs="Times New Roman"/>
          <w:sz w:val="24"/>
          <w:lang w:val="zh-CN"/>
        </w:rPr>
        <w:t>委托人</w:t>
      </w:r>
      <w:r>
        <w:rPr>
          <w:rFonts w:ascii="宋体" w:hAnsi="宋体" w:eastAsia="宋体" w:cs="Times New Roman"/>
          <w:sz w:val="24"/>
          <w:lang w:val="zh-CN"/>
        </w:rPr>
        <w:t>的变更指示后30天内根据本款提出调整的实施意见。</w:t>
      </w:r>
    </w:p>
    <w:p w14:paraId="1349B78D">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11.3 除了</w:t>
      </w:r>
      <w:r>
        <w:rPr>
          <w:rFonts w:hint="eastAsia" w:ascii="宋体" w:hAnsi="宋体" w:eastAsia="宋体" w:cs="Times New Roman"/>
          <w:sz w:val="24"/>
          <w:lang w:val="zh-CN"/>
        </w:rPr>
        <w:t>委托人</w:t>
      </w:r>
      <w:r>
        <w:rPr>
          <w:rFonts w:ascii="宋体" w:hAnsi="宋体" w:eastAsia="宋体" w:cs="Times New Roman"/>
          <w:sz w:val="24"/>
          <w:lang w:val="zh-CN"/>
        </w:rPr>
        <w:t>的书面提出，</w:t>
      </w:r>
      <w:r>
        <w:rPr>
          <w:rFonts w:hint="eastAsia" w:ascii="宋体" w:hAnsi="宋体" w:eastAsia="宋体" w:cs="Times New Roman"/>
          <w:sz w:val="24"/>
          <w:lang w:val="zh-CN"/>
        </w:rPr>
        <w:t>受托人</w:t>
      </w:r>
      <w:r>
        <w:rPr>
          <w:rFonts w:ascii="宋体" w:hAnsi="宋体" w:eastAsia="宋体" w:cs="Times New Roman"/>
          <w:sz w:val="24"/>
          <w:lang w:val="zh-CN"/>
        </w:rPr>
        <w:t>不得对项目作任何变更。但是，</w:t>
      </w:r>
      <w:r>
        <w:rPr>
          <w:rFonts w:hint="eastAsia" w:ascii="宋体" w:hAnsi="宋体" w:eastAsia="宋体" w:cs="Times New Roman"/>
          <w:sz w:val="24"/>
          <w:lang w:val="zh-CN"/>
        </w:rPr>
        <w:t>受托人</w:t>
      </w:r>
      <w:r>
        <w:rPr>
          <w:rFonts w:ascii="宋体" w:hAnsi="宋体" w:eastAsia="宋体" w:cs="Times New Roman"/>
          <w:sz w:val="24"/>
          <w:lang w:val="zh-CN"/>
        </w:rPr>
        <w:t>可以向</w:t>
      </w:r>
      <w:r>
        <w:rPr>
          <w:rFonts w:hint="eastAsia" w:ascii="宋体" w:hAnsi="宋体" w:eastAsia="宋体" w:cs="Times New Roman"/>
          <w:sz w:val="24"/>
          <w:lang w:val="zh-CN"/>
        </w:rPr>
        <w:t>委托人</w:t>
      </w:r>
      <w:r>
        <w:rPr>
          <w:rFonts w:ascii="宋体" w:hAnsi="宋体" w:eastAsia="宋体" w:cs="Times New Roman"/>
          <w:sz w:val="24"/>
          <w:lang w:val="zh-CN"/>
        </w:rPr>
        <w:t>提出变更的建议。</w:t>
      </w:r>
    </w:p>
    <w:p w14:paraId="0E135E50">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11.4 </w:t>
      </w:r>
      <w:r>
        <w:rPr>
          <w:rFonts w:hint="eastAsia" w:ascii="宋体" w:hAnsi="宋体" w:eastAsia="宋体" w:cs="Times New Roman"/>
          <w:sz w:val="24"/>
          <w:lang w:val="zh-CN"/>
        </w:rPr>
        <w:t>委托人</w:t>
      </w:r>
      <w:r>
        <w:rPr>
          <w:rFonts w:ascii="宋体" w:hAnsi="宋体" w:eastAsia="宋体" w:cs="Times New Roman"/>
          <w:sz w:val="24"/>
          <w:lang w:val="zh-CN"/>
        </w:rPr>
        <w:t>在执行合同期间发出的变更应视为合同的组成部分。</w:t>
      </w:r>
    </w:p>
    <w:p w14:paraId="1815DE7C">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11.5 </w:t>
      </w:r>
      <w:r>
        <w:rPr>
          <w:rFonts w:hint="eastAsia" w:ascii="宋体" w:hAnsi="宋体" w:eastAsia="宋体" w:cs="Times New Roman"/>
          <w:sz w:val="24"/>
          <w:lang w:val="zh-CN"/>
        </w:rPr>
        <w:t>委托人</w:t>
      </w:r>
      <w:r>
        <w:rPr>
          <w:rFonts w:ascii="宋体" w:hAnsi="宋体" w:eastAsia="宋体" w:cs="Times New Roman"/>
          <w:sz w:val="24"/>
          <w:lang w:val="zh-CN"/>
        </w:rPr>
        <w:t>要求</w:t>
      </w:r>
      <w:r>
        <w:rPr>
          <w:rFonts w:hint="eastAsia" w:ascii="宋体" w:hAnsi="宋体" w:eastAsia="宋体" w:cs="Times New Roman"/>
          <w:sz w:val="24"/>
          <w:lang w:val="zh-CN"/>
        </w:rPr>
        <w:t>受托人</w:t>
      </w:r>
      <w:r>
        <w:rPr>
          <w:rFonts w:ascii="宋体" w:hAnsi="宋体" w:eastAsia="宋体" w:cs="Times New Roman"/>
          <w:sz w:val="24"/>
          <w:lang w:val="zh-CN"/>
        </w:rPr>
        <w:t>做出变更前，应将此类变更的性质和方式通知</w:t>
      </w:r>
      <w:r>
        <w:rPr>
          <w:rFonts w:hint="eastAsia" w:ascii="宋体" w:hAnsi="宋体" w:eastAsia="宋体" w:cs="Times New Roman"/>
          <w:sz w:val="24"/>
          <w:lang w:val="zh-CN"/>
        </w:rPr>
        <w:t>受托人</w:t>
      </w:r>
      <w:r>
        <w:rPr>
          <w:rFonts w:ascii="宋体" w:hAnsi="宋体" w:eastAsia="宋体" w:cs="Times New Roman"/>
          <w:sz w:val="24"/>
          <w:lang w:val="zh-CN"/>
        </w:rPr>
        <w:t>。在收到通知后，</w:t>
      </w:r>
      <w:r>
        <w:rPr>
          <w:rFonts w:hint="eastAsia" w:ascii="宋体" w:hAnsi="宋体" w:eastAsia="宋体" w:cs="Times New Roman"/>
          <w:sz w:val="24"/>
          <w:lang w:val="zh-CN"/>
        </w:rPr>
        <w:t>受托人</w:t>
      </w:r>
      <w:r>
        <w:rPr>
          <w:rFonts w:ascii="宋体" w:hAnsi="宋体" w:eastAsia="宋体" w:cs="Times New Roman"/>
          <w:sz w:val="24"/>
          <w:lang w:val="zh-CN"/>
        </w:rPr>
        <w:t>应尽快向</w:t>
      </w:r>
      <w:r>
        <w:rPr>
          <w:rFonts w:hint="eastAsia" w:ascii="宋体" w:hAnsi="宋体" w:eastAsia="宋体" w:cs="Times New Roman"/>
          <w:sz w:val="24"/>
          <w:lang w:val="zh-CN"/>
        </w:rPr>
        <w:t>委托人</w:t>
      </w:r>
      <w:r>
        <w:rPr>
          <w:rFonts w:ascii="宋体" w:hAnsi="宋体" w:eastAsia="宋体" w:cs="Times New Roman"/>
          <w:sz w:val="24"/>
          <w:lang w:val="zh-CN"/>
        </w:rPr>
        <w:t>提交变更建议书，内容包括：</w:t>
      </w:r>
    </w:p>
    <w:p w14:paraId="1A04F019">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11.5.1 将要实施的工作的说明以及工作的实施进度计划；</w:t>
      </w:r>
    </w:p>
    <w:p w14:paraId="4A7BB9A3">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11.5.2 对进度计划或对本合同项下的</w:t>
      </w:r>
      <w:r>
        <w:rPr>
          <w:rFonts w:hint="eastAsia" w:ascii="宋体" w:hAnsi="宋体" w:eastAsia="宋体" w:cs="Times New Roman"/>
          <w:sz w:val="24"/>
          <w:lang w:val="zh-CN"/>
        </w:rPr>
        <w:t>受托人</w:t>
      </w:r>
      <w:r>
        <w:rPr>
          <w:rFonts w:ascii="宋体" w:hAnsi="宋体" w:eastAsia="宋体" w:cs="Times New Roman"/>
          <w:sz w:val="24"/>
          <w:lang w:val="zh-CN"/>
        </w:rPr>
        <w:t>义务进行必要的修改的建议；</w:t>
      </w:r>
    </w:p>
    <w:p w14:paraId="078D71CB">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11.5.3 </w:t>
      </w:r>
      <w:r>
        <w:rPr>
          <w:rFonts w:hint="eastAsia" w:ascii="宋体" w:hAnsi="宋体" w:eastAsia="宋体" w:cs="Times New Roman"/>
          <w:sz w:val="24"/>
          <w:lang w:val="zh-CN"/>
        </w:rPr>
        <w:t>受托人</w:t>
      </w:r>
      <w:r>
        <w:rPr>
          <w:rFonts w:ascii="宋体" w:hAnsi="宋体" w:eastAsia="宋体" w:cs="Times New Roman"/>
          <w:sz w:val="24"/>
          <w:lang w:val="zh-CN"/>
        </w:rPr>
        <w:t>对合同价格调整的建议。</w:t>
      </w:r>
    </w:p>
    <w:p w14:paraId="58532879">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11.6 如因</w:t>
      </w:r>
      <w:r>
        <w:rPr>
          <w:rFonts w:hint="eastAsia" w:ascii="宋体" w:hAnsi="宋体" w:eastAsia="宋体" w:cs="Times New Roman"/>
          <w:sz w:val="24"/>
          <w:lang w:val="zh-CN"/>
        </w:rPr>
        <w:t>委托人</w:t>
      </w:r>
      <w:r>
        <w:rPr>
          <w:rFonts w:ascii="宋体" w:hAnsi="宋体" w:eastAsia="宋体" w:cs="Times New Roman"/>
          <w:sz w:val="24"/>
          <w:lang w:val="zh-CN"/>
        </w:rPr>
        <w:t>更改要求致使价格及时间表的调整，</w:t>
      </w:r>
      <w:r>
        <w:rPr>
          <w:rFonts w:hint="eastAsia" w:ascii="宋体" w:hAnsi="宋体" w:eastAsia="宋体" w:cs="Times New Roman"/>
          <w:sz w:val="24"/>
          <w:lang w:val="zh-CN"/>
        </w:rPr>
        <w:t>受托人</w:t>
      </w:r>
      <w:r>
        <w:rPr>
          <w:rFonts w:ascii="宋体" w:hAnsi="宋体" w:eastAsia="宋体" w:cs="Times New Roman"/>
          <w:sz w:val="24"/>
          <w:lang w:val="zh-CN"/>
        </w:rPr>
        <w:t>在合理的时间内，按</w:t>
      </w:r>
      <w:r>
        <w:rPr>
          <w:rFonts w:hint="eastAsia" w:ascii="宋体" w:hAnsi="宋体" w:eastAsia="宋体" w:cs="Times New Roman"/>
          <w:sz w:val="24"/>
          <w:lang w:val="zh-CN"/>
        </w:rPr>
        <w:t>委托人</w:t>
      </w:r>
      <w:r>
        <w:rPr>
          <w:rFonts w:ascii="宋体" w:hAnsi="宋体" w:eastAsia="宋体" w:cs="Times New Roman"/>
          <w:sz w:val="24"/>
          <w:lang w:val="zh-CN"/>
        </w:rPr>
        <w:t>所需详细程度提交一份对合同价格和/或执行时间表的修改方案，内容包括但不限于价格的构成。这种情况下对合同价格进行修正应按下述方式进行：</w:t>
      </w:r>
    </w:p>
    <w:p w14:paraId="09449ED9">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11.6.1 对合同中已明确并有定价的选项及替代方案，按合同中明列的相应金额计；</w:t>
      </w:r>
    </w:p>
    <w:p w14:paraId="288EAC19">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11.6.2 对合同中尚未明确和定价的选项及替代方案，其金额须由</w:t>
      </w:r>
      <w:r>
        <w:rPr>
          <w:rFonts w:hint="eastAsia" w:ascii="宋体" w:hAnsi="宋体" w:eastAsia="宋体" w:cs="Times New Roman"/>
          <w:sz w:val="24"/>
          <w:lang w:val="zh-CN"/>
        </w:rPr>
        <w:t>委托人受托人</w:t>
      </w:r>
      <w:r>
        <w:rPr>
          <w:rFonts w:ascii="宋体" w:hAnsi="宋体" w:eastAsia="宋体" w:cs="Times New Roman"/>
          <w:sz w:val="24"/>
          <w:lang w:val="zh-CN"/>
        </w:rPr>
        <w:t>按以下一种或多种方法协商确定：</w:t>
      </w:r>
    </w:p>
    <w:p w14:paraId="046CF694">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hint="eastAsia" w:ascii="宋体" w:hAnsi="宋体" w:eastAsia="宋体" w:cs="Times New Roman"/>
          <w:sz w:val="24"/>
          <w:lang w:val="zh-CN"/>
        </w:rPr>
        <w:t>（</w:t>
      </w:r>
      <w:r>
        <w:rPr>
          <w:rFonts w:ascii="宋体" w:hAnsi="宋体" w:eastAsia="宋体" w:cs="Times New Roman"/>
          <w:sz w:val="24"/>
          <w:lang w:val="zh-CN"/>
        </w:rPr>
        <w:t>1）根据</w:t>
      </w:r>
      <w:r>
        <w:rPr>
          <w:rFonts w:hint="eastAsia" w:ascii="宋体" w:hAnsi="宋体" w:eastAsia="宋体" w:cs="Times New Roman"/>
          <w:sz w:val="24"/>
          <w:lang w:val="zh-CN"/>
        </w:rPr>
        <w:t>受托人</w:t>
      </w:r>
      <w:r>
        <w:rPr>
          <w:rFonts w:ascii="宋体" w:hAnsi="宋体" w:eastAsia="宋体" w:cs="Times New Roman"/>
          <w:sz w:val="24"/>
          <w:lang w:val="zh-CN"/>
        </w:rPr>
        <w:t>在与合同一致的基础上提出的总价；</w:t>
      </w:r>
    </w:p>
    <w:p w14:paraId="633C47C8">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hint="eastAsia" w:ascii="宋体" w:hAnsi="宋体" w:eastAsia="宋体" w:cs="Times New Roman"/>
          <w:sz w:val="24"/>
          <w:lang w:val="zh-CN"/>
        </w:rPr>
        <w:t>（</w:t>
      </w:r>
      <w:r>
        <w:rPr>
          <w:rFonts w:ascii="宋体" w:hAnsi="宋体" w:eastAsia="宋体" w:cs="Times New Roman"/>
          <w:sz w:val="24"/>
          <w:lang w:val="zh-CN"/>
        </w:rPr>
        <w:t>2）根据合同单价和/或单位费率计算而计出总价；</w:t>
      </w:r>
    </w:p>
    <w:p w14:paraId="1A9AB074">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hint="eastAsia" w:ascii="宋体" w:hAnsi="宋体" w:eastAsia="宋体" w:cs="Times New Roman"/>
          <w:sz w:val="24"/>
          <w:lang w:val="zh-CN"/>
        </w:rPr>
        <w:t>（</w:t>
      </w:r>
      <w:r>
        <w:rPr>
          <w:rFonts w:ascii="宋体" w:hAnsi="宋体" w:eastAsia="宋体" w:cs="Times New Roman"/>
          <w:sz w:val="24"/>
          <w:lang w:val="zh-CN"/>
        </w:rPr>
        <w:t>3）根据合同价格类推和/或按比例计算而计出总价；</w:t>
      </w:r>
    </w:p>
    <w:p w14:paraId="3B702217">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hint="eastAsia" w:ascii="宋体" w:hAnsi="宋体" w:eastAsia="宋体" w:cs="Times New Roman"/>
          <w:sz w:val="24"/>
          <w:lang w:val="zh-CN"/>
        </w:rPr>
        <w:t>（</w:t>
      </w:r>
      <w:r>
        <w:rPr>
          <w:rFonts w:ascii="宋体" w:hAnsi="宋体" w:eastAsia="宋体" w:cs="Times New Roman"/>
          <w:sz w:val="24"/>
          <w:lang w:val="zh-CN"/>
        </w:rPr>
        <w:t>4）根据合同规定的成本价。</w:t>
      </w:r>
    </w:p>
    <w:p w14:paraId="57D89EED">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这类变更定价时，应考虑部分已完成工程已经不再有用，及</w:t>
      </w:r>
      <w:r>
        <w:rPr>
          <w:rFonts w:hint="eastAsia" w:ascii="宋体" w:hAnsi="宋体" w:eastAsia="宋体" w:cs="Times New Roman"/>
          <w:sz w:val="24"/>
          <w:lang w:val="zh-CN"/>
        </w:rPr>
        <w:t>受托人</w:t>
      </w:r>
      <w:r>
        <w:rPr>
          <w:rFonts w:ascii="宋体" w:hAnsi="宋体" w:eastAsia="宋体" w:cs="Times New Roman"/>
          <w:sz w:val="24"/>
          <w:lang w:val="zh-CN"/>
        </w:rPr>
        <w:t>可以从第三者得到部分资金补偿的情况。</w:t>
      </w:r>
    </w:p>
    <w:p w14:paraId="2C55CA62">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11.7 如果</w:t>
      </w:r>
      <w:r>
        <w:rPr>
          <w:rFonts w:hint="eastAsia" w:ascii="宋体" w:hAnsi="宋体" w:eastAsia="宋体" w:cs="Times New Roman"/>
          <w:sz w:val="24"/>
          <w:lang w:val="zh-CN"/>
        </w:rPr>
        <w:t>受托人</w:t>
      </w:r>
      <w:r>
        <w:rPr>
          <w:rFonts w:ascii="宋体" w:hAnsi="宋体" w:eastAsia="宋体" w:cs="Times New Roman"/>
          <w:sz w:val="24"/>
          <w:lang w:val="zh-CN"/>
        </w:rPr>
        <w:t>认为</w:t>
      </w:r>
      <w:r>
        <w:rPr>
          <w:rFonts w:hint="eastAsia" w:ascii="宋体" w:hAnsi="宋体" w:eastAsia="宋体" w:cs="Times New Roman"/>
          <w:sz w:val="24"/>
          <w:lang w:val="zh-CN"/>
        </w:rPr>
        <w:t>委托人</w:t>
      </w:r>
      <w:r>
        <w:rPr>
          <w:rFonts w:ascii="宋体" w:hAnsi="宋体" w:eastAsia="宋体" w:cs="Times New Roman"/>
          <w:sz w:val="24"/>
          <w:lang w:val="zh-CN"/>
        </w:rPr>
        <w:t>的指示、决定或其它行为包括那些与合同要求不一致将会或已经对其履行合同造成负面影响的行为，会影响</w:t>
      </w:r>
      <w:r>
        <w:rPr>
          <w:rFonts w:hint="eastAsia" w:ascii="宋体" w:hAnsi="宋体" w:eastAsia="宋体" w:cs="Times New Roman"/>
          <w:sz w:val="24"/>
          <w:lang w:val="zh-CN"/>
        </w:rPr>
        <w:t>受托人</w:t>
      </w:r>
      <w:r>
        <w:rPr>
          <w:rFonts w:ascii="宋体" w:hAnsi="宋体" w:eastAsia="宋体" w:cs="Times New Roman"/>
          <w:sz w:val="24"/>
          <w:lang w:val="zh-CN"/>
        </w:rPr>
        <w:t>履约则</w:t>
      </w:r>
      <w:r>
        <w:rPr>
          <w:rFonts w:hint="eastAsia" w:ascii="宋体" w:hAnsi="宋体" w:eastAsia="宋体" w:cs="Times New Roman"/>
          <w:sz w:val="24"/>
          <w:lang w:val="zh-CN"/>
        </w:rPr>
        <w:t>受托人</w:t>
      </w:r>
      <w:r>
        <w:rPr>
          <w:rFonts w:ascii="宋体" w:hAnsi="宋体" w:eastAsia="宋体" w:cs="Times New Roman"/>
          <w:sz w:val="24"/>
          <w:lang w:val="zh-CN"/>
        </w:rPr>
        <w:t>应立即以规定的格式向</w:t>
      </w:r>
      <w:r>
        <w:rPr>
          <w:rFonts w:hint="eastAsia" w:ascii="宋体" w:hAnsi="宋体" w:eastAsia="宋体" w:cs="Times New Roman"/>
          <w:sz w:val="24"/>
          <w:lang w:val="zh-CN"/>
        </w:rPr>
        <w:t>委托人</w:t>
      </w:r>
      <w:r>
        <w:rPr>
          <w:rFonts w:ascii="宋体" w:hAnsi="宋体" w:eastAsia="宋体" w:cs="Times New Roman"/>
          <w:sz w:val="24"/>
          <w:lang w:val="zh-CN"/>
        </w:rPr>
        <w:t>发出“变更建议书”。</w:t>
      </w:r>
    </w:p>
    <w:p w14:paraId="7241D4BC">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11.8 在</w:t>
      </w:r>
      <w:r>
        <w:rPr>
          <w:rFonts w:hint="eastAsia" w:ascii="宋体" w:hAnsi="宋体" w:eastAsia="宋体" w:cs="Times New Roman"/>
          <w:sz w:val="24"/>
          <w:lang w:val="zh-CN"/>
        </w:rPr>
        <w:t>委托人</w:t>
      </w:r>
      <w:r>
        <w:rPr>
          <w:rFonts w:ascii="宋体" w:hAnsi="宋体" w:eastAsia="宋体" w:cs="Times New Roman"/>
          <w:sz w:val="24"/>
          <w:lang w:val="zh-CN"/>
        </w:rPr>
        <w:t>与</w:t>
      </w:r>
      <w:r>
        <w:rPr>
          <w:rFonts w:hint="eastAsia" w:ascii="宋体" w:hAnsi="宋体" w:eastAsia="宋体" w:cs="Times New Roman"/>
          <w:sz w:val="24"/>
          <w:lang w:val="zh-CN"/>
        </w:rPr>
        <w:t>受托人</w:t>
      </w:r>
      <w:r>
        <w:rPr>
          <w:rFonts w:ascii="宋体" w:hAnsi="宋体" w:eastAsia="宋体" w:cs="Times New Roman"/>
          <w:sz w:val="24"/>
          <w:lang w:val="zh-CN"/>
        </w:rPr>
        <w:t>对修改方案协商一致的基础上，</w:t>
      </w:r>
      <w:r>
        <w:rPr>
          <w:rFonts w:hint="eastAsia" w:ascii="宋体" w:hAnsi="宋体" w:eastAsia="宋体" w:cs="Times New Roman"/>
          <w:sz w:val="24"/>
          <w:lang w:val="zh-CN"/>
        </w:rPr>
        <w:t>委托人</w:t>
      </w:r>
      <w:r>
        <w:rPr>
          <w:rFonts w:ascii="宋体" w:hAnsi="宋体" w:eastAsia="宋体" w:cs="Times New Roman"/>
          <w:sz w:val="24"/>
          <w:lang w:val="zh-CN"/>
        </w:rPr>
        <w:t>向</w:t>
      </w:r>
      <w:r>
        <w:rPr>
          <w:rFonts w:hint="eastAsia" w:ascii="宋体" w:hAnsi="宋体" w:eastAsia="宋体" w:cs="Times New Roman"/>
          <w:sz w:val="24"/>
          <w:lang w:val="zh-CN"/>
        </w:rPr>
        <w:t>受托人</w:t>
      </w:r>
      <w:r>
        <w:rPr>
          <w:rFonts w:ascii="宋体" w:hAnsi="宋体" w:eastAsia="宋体" w:cs="Times New Roman"/>
          <w:sz w:val="24"/>
          <w:lang w:val="zh-CN"/>
        </w:rPr>
        <w:t>签署正式变更指令，变更项目实施内容同时相应修改合同价和/或履约时间。</w:t>
      </w:r>
    </w:p>
    <w:p w14:paraId="628B26E8">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11.9 如果</w:t>
      </w:r>
      <w:r>
        <w:rPr>
          <w:rFonts w:hint="eastAsia" w:ascii="宋体" w:hAnsi="宋体" w:eastAsia="宋体" w:cs="Times New Roman"/>
          <w:sz w:val="24"/>
          <w:lang w:val="zh-CN"/>
        </w:rPr>
        <w:t>委托人</w:t>
      </w:r>
      <w:r>
        <w:rPr>
          <w:rFonts w:ascii="宋体" w:hAnsi="宋体" w:eastAsia="宋体" w:cs="Times New Roman"/>
          <w:sz w:val="24"/>
          <w:lang w:val="zh-CN"/>
        </w:rPr>
        <w:t>的行为对</w:t>
      </w:r>
      <w:r>
        <w:rPr>
          <w:rFonts w:hint="eastAsia" w:ascii="宋体" w:hAnsi="宋体" w:eastAsia="宋体" w:cs="Times New Roman"/>
          <w:sz w:val="24"/>
          <w:lang w:val="zh-CN"/>
        </w:rPr>
        <w:t>受托人</w:t>
      </w:r>
      <w:r>
        <w:rPr>
          <w:rFonts w:ascii="宋体" w:hAnsi="宋体" w:eastAsia="宋体" w:cs="Times New Roman"/>
          <w:sz w:val="24"/>
          <w:lang w:val="zh-CN"/>
        </w:rPr>
        <w:t>的影响是符合合同条款的或是</w:t>
      </w:r>
      <w:r>
        <w:rPr>
          <w:rFonts w:hint="eastAsia" w:ascii="宋体" w:hAnsi="宋体" w:eastAsia="宋体" w:cs="Times New Roman"/>
          <w:sz w:val="24"/>
          <w:lang w:val="zh-CN"/>
        </w:rPr>
        <w:t>委托人</w:t>
      </w:r>
      <w:r>
        <w:rPr>
          <w:rFonts w:ascii="宋体" w:hAnsi="宋体" w:eastAsia="宋体" w:cs="Times New Roman"/>
          <w:sz w:val="24"/>
          <w:lang w:val="zh-CN"/>
        </w:rPr>
        <w:t>的行为是因为</w:t>
      </w:r>
      <w:r>
        <w:rPr>
          <w:rFonts w:hint="eastAsia" w:ascii="宋体" w:hAnsi="宋体" w:eastAsia="宋体" w:cs="Times New Roman"/>
          <w:sz w:val="24"/>
          <w:lang w:val="zh-CN"/>
        </w:rPr>
        <w:t>受托人</w:t>
      </w:r>
      <w:r>
        <w:rPr>
          <w:rFonts w:ascii="宋体" w:hAnsi="宋体" w:eastAsia="宋体" w:cs="Times New Roman"/>
          <w:sz w:val="24"/>
          <w:lang w:val="zh-CN"/>
        </w:rPr>
        <w:t>不按合同要求履行而被迫做出的，则</w:t>
      </w:r>
      <w:r>
        <w:rPr>
          <w:rFonts w:hint="eastAsia" w:ascii="宋体" w:hAnsi="宋体" w:eastAsia="宋体" w:cs="Times New Roman"/>
          <w:sz w:val="24"/>
          <w:lang w:val="zh-CN"/>
        </w:rPr>
        <w:t>委托人</w:t>
      </w:r>
      <w:r>
        <w:rPr>
          <w:rFonts w:ascii="宋体" w:hAnsi="宋体" w:eastAsia="宋体" w:cs="Times New Roman"/>
          <w:sz w:val="24"/>
          <w:lang w:val="zh-CN"/>
        </w:rPr>
        <w:t>不签发变更指令。</w:t>
      </w:r>
    </w:p>
    <w:p w14:paraId="0F6080CE">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12、合同修改</w:t>
      </w:r>
    </w:p>
    <w:p w14:paraId="043A0F3E">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12.1 除了通用条款第11条的规定外，对本合同条件所作的任何修改、补充均须根据双方协商达成的协议，以规定的标准修改书形式由双方授权代表签字来完成，并作为本合同不可分割的组成部分，具有与合同本身同样的效力。</w:t>
      </w:r>
    </w:p>
    <w:p w14:paraId="42677E09">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12.2 特别约定：由于合同服务时间较长，关于</w:t>
      </w:r>
      <w:r>
        <w:rPr>
          <w:rFonts w:hint="eastAsia" w:ascii="宋体" w:hAnsi="宋体" w:eastAsia="宋体" w:cs="Times New Roman"/>
          <w:sz w:val="24"/>
          <w:lang w:val="zh-CN"/>
        </w:rPr>
        <w:t>设计咨询服务</w:t>
      </w:r>
      <w:r>
        <w:rPr>
          <w:rFonts w:ascii="宋体" w:hAnsi="宋体" w:eastAsia="宋体" w:cs="Times New Roman"/>
          <w:sz w:val="24"/>
          <w:lang w:val="zh-CN"/>
        </w:rPr>
        <w:t>服务中存在不确定性因素。在合同执行期间，如确有需要，合同双方根据需要对</w:t>
      </w:r>
      <w:r>
        <w:rPr>
          <w:rFonts w:hint="eastAsia" w:ascii="宋体" w:hAnsi="宋体" w:eastAsia="宋体" w:cs="Times New Roman"/>
          <w:sz w:val="24"/>
          <w:lang w:val="zh-CN"/>
        </w:rPr>
        <w:t>工作任务书</w:t>
      </w:r>
      <w:r>
        <w:rPr>
          <w:rFonts w:ascii="宋体" w:hAnsi="宋体" w:eastAsia="宋体" w:cs="Times New Roman"/>
          <w:sz w:val="24"/>
          <w:lang w:val="zh-CN"/>
        </w:rPr>
        <w:t>进行修改完善。</w:t>
      </w:r>
    </w:p>
    <w:p w14:paraId="175B082C">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12.3 如果</w:t>
      </w:r>
      <w:r>
        <w:rPr>
          <w:rFonts w:hint="eastAsia" w:ascii="宋体" w:hAnsi="宋体" w:eastAsia="宋体" w:cs="Times New Roman"/>
          <w:sz w:val="24"/>
          <w:lang w:val="zh-CN"/>
        </w:rPr>
        <w:t>委托人</w:t>
      </w:r>
      <w:r>
        <w:rPr>
          <w:rFonts w:ascii="宋体" w:hAnsi="宋体" w:eastAsia="宋体" w:cs="Times New Roman"/>
          <w:sz w:val="24"/>
          <w:lang w:val="zh-CN"/>
        </w:rPr>
        <w:t>书面要求</w:t>
      </w:r>
      <w:r>
        <w:rPr>
          <w:rFonts w:hint="eastAsia" w:ascii="宋体" w:hAnsi="宋体" w:eastAsia="宋体" w:cs="Times New Roman"/>
          <w:sz w:val="24"/>
          <w:lang w:val="zh-CN"/>
        </w:rPr>
        <w:t>受托人</w:t>
      </w:r>
      <w:r>
        <w:rPr>
          <w:rFonts w:ascii="宋体" w:hAnsi="宋体" w:eastAsia="宋体" w:cs="Times New Roman"/>
          <w:sz w:val="24"/>
          <w:lang w:val="zh-CN"/>
        </w:rPr>
        <w:t>提供合同范围外的服务时，</w:t>
      </w:r>
      <w:r>
        <w:rPr>
          <w:rFonts w:hint="eastAsia" w:ascii="宋体" w:hAnsi="宋体" w:eastAsia="宋体" w:cs="Times New Roman"/>
          <w:sz w:val="24"/>
          <w:lang w:val="zh-CN"/>
        </w:rPr>
        <w:t>受托人</w:t>
      </w:r>
      <w:r>
        <w:rPr>
          <w:rFonts w:ascii="宋体" w:hAnsi="宋体" w:eastAsia="宋体" w:cs="Times New Roman"/>
          <w:sz w:val="24"/>
          <w:lang w:val="zh-CN"/>
        </w:rPr>
        <w:t>应提交变更服务的建议书，在</w:t>
      </w:r>
      <w:r>
        <w:rPr>
          <w:rFonts w:hint="eastAsia" w:ascii="宋体" w:hAnsi="宋体" w:eastAsia="宋体" w:cs="Times New Roman"/>
          <w:sz w:val="24"/>
          <w:lang w:val="zh-CN"/>
        </w:rPr>
        <w:t>委托人</w:t>
      </w:r>
      <w:r>
        <w:rPr>
          <w:rFonts w:ascii="宋体" w:hAnsi="宋体" w:eastAsia="宋体" w:cs="Times New Roman"/>
          <w:sz w:val="24"/>
          <w:lang w:val="zh-CN"/>
        </w:rPr>
        <w:t>确认后，</w:t>
      </w:r>
      <w:r>
        <w:rPr>
          <w:rFonts w:hint="eastAsia" w:ascii="宋体" w:hAnsi="宋体" w:eastAsia="宋体" w:cs="Times New Roman"/>
          <w:sz w:val="24"/>
          <w:lang w:val="zh-CN"/>
        </w:rPr>
        <w:t>受托人</w:t>
      </w:r>
      <w:r>
        <w:rPr>
          <w:rFonts w:ascii="宋体" w:hAnsi="宋体" w:eastAsia="宋体" w:cs="Times New Roman"/>
          <w:sz w:val="24"/>
          <w:lang w:val="zh-CN"/>
        </w:rPr>
        <w:t>应提供双方约定的服务。此类建议书的准备和提交应作为本合同的一项附加的服务不另收费。</w:t>
      </w:r>
    </w:p>
    <w:p w14:paraId="1A553EDA">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13、转让与分包</w:t>
      </w:r>
    </w:p>
    <w:p w14:paraId="5358F3E1">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rPr>
        <w:t xml:space="preserve">13.1 </w:t>
      </w:r>
      <w:r>
        <w:rPr>
          <w:rFonts w:ascii="宋体" w:hAnsi="宋体" w:eastAsia="宋体" w:cs="Times New Roman"/>
          <w:sz w:val="24"/>
          <w:lang w:val="zh-CN"/>
        </w:rPr>
        <w:t>除</w:t>
      </w:r>
      <w:r>
        <w:rPr>
          <w:rFonts w:hint="eastAsia" w:ascii="宋体" w:hAnsi="宋体" w:eastAsia="宋体" w:cs="Times New Roman"/>
          <w:sz w:val="24"/>
          <w:lang w:val="zh-CN"/>
        </w:rPr>
        <w:t>委托人</w:t>
      </w:r>
      <w:r>
        <w:rPr>
          <w:rFonts w:ascii="宋体" w:hAnsi="宋体" w:eastAsia="宋体" w:cs="Times New Roman"/>
          <w:sz w:val="24"/>
          <w:lang w:val="zh-CN"/>
        </w:rPr>
        <w:t>事先书面同意外，</w:t>
      </w:r>
      <w:r>
        <w:rPr>
          <w:rFonts w:hint="eastAsia" w:ascii="宋体" w:hAnsi="宋体" w:eastAsia="宋体" w:cs="Times New Roman"/>
          <w:sz w:val="24"/>
          <w:lang w:val="zh-CN"/>
        </w:rPr>
        <w:t>受托人</w:t>
      </w:r>
      <w:r>
        <w:rPr>
          <w:rFonts w:ascii="宋体" w:hAnsi="宋体" w:eastAsia="宋体" w:cs="Times New Roman"/>
          <w:sz w:val="24"/>
          <w:lang w:val="zh-CN"/>
        </w:rPr>
        <w:t>不得部分转让或全部转让其应履行的合同义务。</w:t>
      </w:r>
    </w:p>
    <w:p w14:paraId="1690F1E8">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13.2</w:t>
      </w:r>
      <w:r>
        <w:rPr>
          <w:rFonts w:hint="eastAsia" w:ascii="宋体" w:hAnsi="宋体" w:eastAsia="宋体" w:cs="Times New Roman"/>
          <w:sz w:val="24"/>
          <w:lang w:val="zh-CN"/>
        </w:rPr>
        <w:t>受托人</w:t>
      </w:r>
      <w:r>
        <w:rPr>
          <w:rFonts w:hint="eastAsia" w:ascii="宋体" w:hAnsi="宋体" w:eastAsia="宋体" w:cs="Times New Roman"/>
          <w:sz w:val="24"/>
        </w:rPr>
        <w:t>不得将其承揽的全部工程设计咨询转包给第三人，或将其承包的全部工程设计咨询肢解后以分包的名义转包给第三人。受托人不得将工程主体结构设计咨询等关键性工作以及专用条款中禁止分包的工程设计分包给第三人。工程主体结构设计咨询等关键性工作的范围，由合同当事人按照法律规定在专用条款中予以明确。</w:t>
      </w:r>
    </w:p>
    <w:p w14:paraId="519D0BB9">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13.3</w:t>
      </w:r>
      <w:r>
        <w:rPr>
          <w:rFonts w:hint="eastAsia" w:ascii="宋体" w:hAnsi="宋体" w:eastAsia="宋体" w:cs="Times New Roman"/>
          <w:sz w:val="24"/>
        </w:rPr>
        <w:t>受托人应按专用条款约定或经过委托人书面同意后进行分包，确定分包人。按照合同约定或经过委托人书面同意后进行分包的，受托人应确保分包人具有相应的资质和能力。设计咨询分包不减轻、不免除受托人的应负责任和义务。受托人和分包人就分包设计咨询，向委托人承担连带责任。</w:t>
      </w:r>
    </w:p>
    <w:p w14:paraId="10D7AC20">
      <w:pPr>
        <w:autoSpaceDE w:val="0"/>
        <w:autoSpaceDN w:val="0"/>
        <w:adjustRightInd w:val="0"/>
        <w:snapToGrid w:val="0"/>
        <w:spacing w:line="360" w:lineRule="auto"/>
        <w:ind w:firstLine="480" w:firstLineChars="200"/>
        <w:rPr>
          <w:rFonts w:hint="eastAsia" w:ascii="宋体" w:hAnsi="宋体" w:eastAsia="宋体" w:cs="Times New Roman"/>
          <w:sz w:val="24"/>
        </w:rPr>
      </w:pPr>
      <w:r>
        <w:rPr>
          <w:rFonts w:ascii="宋体" w:hAnsi="宋体" w:eastAsia="宋体" w:cs="Times New Roman"/>
          <w:sz w:val="24"/>
        </w:rPr>
        <w:t>13.4</w:t>
      </w:r>
      <w:r>
        <w:rPr>
          <w:rFonts w:hint="eastAsia" w:ascii="宋体" w:hAnsi="宋体" w:eastAsia="宋体" w:cs="Times New Roman"/>
          <w:sz w:val="24"/>
        </w:rPr>
        <w:t xml:space="preserve"> 受托人应按照专用条款的约定，向委托人提交分包人的设计咨询项目负责人和专业负责人的基本信息。</w:t>
      </w:r>
    </w:p>
    <w:p w14:paraId="3CF2FB07">
      <w:pPr>
        <w:autoSpaceDE w:val="0"/>
        <w:autoSpaceDN w:val="0"/>
        <w:adjustRightInd w:val="0"/>
        <w:snapToGrid w:val="0"/>
        <w:spacing w:line="360" w:lineRule="auto"/>
        <w:ind w:firstLine="480" w:firstLineChars="200"/>
        <w:rPr>
          <w:rFonts w:hint="eastAsia" w:ascii="宋体" w:hAnsi="宋体" w:eastAsia="宋体" w:cs="Times New Roman"/>
          <w:sz w:val="24"/>
        </w:rPr>
      </w:pPr>
      <w:r>
        <w:rPr>
          <w:rFonts w:ascii="宋体" w:hAnsi="宋体" w:eastAsia="宋体" w:cs="Times New Roman"/>
          <w:sz w:val="24"/>
        </w:rPr>
        <w:t>13.5</w:t>
      </w:r>
      <w:r>
        <w:rPr>
          <w:rFonts w:hint="eastAsia" w:ascii="宋体" w:hAnsi="宋体" w:eastAsia="宋体" w:cs="Times New Roman"/>
          <w:sz w:val="24"/>
        </w:rPr>
        <w:t>关于分包工程设计费，合同当事人共同遵守下列约定：</w:t>
      </w:r>
    </w:p>
    <w:p w14:paraId="5095063F">
      <w:pPr>
        <w:autoSpaceDE w:val="0"/>
        <w:autoSpaceDN w:val="0"/>
        <w:adjustRightInd w:val="0"/>
        <w:snapToGrid w:val="0"/>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w:t>
      </w:r>
      <w:r>
        <w:rPr>
          <w:rFonts w:ascii="宋体" w:hAnsi="宋体" w:eastAsia="宋体" w:cs="Times New Roman"/>
          <w:sz w:val="24"/>
        </w:rPr>
        <w:t>1）除本条第（2）款约定的情况或专用条款另有约定外，分包工程设计</w:t>
      </w:r>
      <w:r>
        <w:rPr>
          <w:rFonts w:hint="eastAsia" w:ascii="宋体" w:hAnsi="宋体" w:eastAsia="宋体" w:cs="Times New Roman"/>
          <w:sz w:val="24"/>
        </w:rPr>
        <w:t>咨询费由受托人与分包人结算。未经受托人同意，委托人不得向分包人支付分包工程设计咨询费。</w:t>
      </w:r>
    </w:p>
    <w:p w14:paraId="001D7C67">
      <w:pPr>
        <w:autoSpaceDE w:val="0"/>
        <w:autoSpaceDN w:val="0"/>
        <w:adjustRightInd w:val="0"/>
        <w:snapToGrid w:val="0"/>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w:t>
      </w:r>
      <w:r>
        <w:rPr>
          <w:rFonts w:ascii="宋体" w:hAnsi="宋体" w:eastAsia="宋体" w:cs="Times New Roman"/>
          <w:sz w:val="24"/>
        </w:rPr>
        <w:t>2）生效的法院判决书或仲裁裁决书要求</w:t>
      </w:r>
      <w:r>
        <w:rPr>
          <w:rFonts w:hint="eastAsia" w:ascii="宋体" w:hAnsi="宋体" w:eastAsia="宋体" w:cs="Times New Roman"/>
          <w:sz w:val="24"/>
        </w:rPr>
        <w:t>委托人向分包人支付分包工程设计咨询费的，委托人有权从应支付给受托人的设计咨询费中扣除该部分费用。</w:t>
      </w:r>
    </w:p>
    <w:p w14:paraId="063A22E9">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14、索赔</w:t>
      </w:r>
    </w:p>
    <w:p w14:paraId="7F59ED8E">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rPr>
        <w:t xml:space="preserve">14.1 </w:t>
      </w:r>
      <w:r>
        <w:rPr>
          <w:rFonts w:ascii="宋体" w:hAnsi="宋体" w:eastAsia="宋体" w:cs="Times New Roman"/>
          <w:sz w:val="24"/>
          <w:lang w:val="zh-CN"/>
        </w:rPr>
        <w:t>因</w:t>
      </w:r>
      <w:r>
        <w:rPr>
          <w:rFonts w:hint="eastAsia" w:ascii="宋体" w:hAnsi="宋体" w:eastAsia="宋体" w:cs="Times New Roman"/>
          <w:sz w:val="24"/>
          <w:lang w:val="zh-CN"/>
        </w:rPr>
        <w:t>受托人</w:t>
      </w:r>
      <w:r>
        <w:rPr>
          <w:rFonts w:ascii="宋体" w:hAnsi="宋体" w:eastAsia="宋体" w:cs="Times New Roman"/>
          <w:sz w:val="24"/>
          <w:lang w:val="zh-CN"/>
        </w:rPr>
        <w:t>的工作错误造成重大质量事故的，</w:t>
      </w:r>
      <w:r>
        <w:rPr>
          <w:rFonts w:hint="eastAsia" w:ascii="宋体" w:hAnsi="宋体" w:eastAsia="宋体" w:cs="Times New Roman"/>
          <w:sz w:val="24"/>
          <w:lang w:val="zh-CN"/>
        </w:rPr>
        <w:t>受托人</w:t>
      </w:r>
      <w:r>
        <w:rPr>
          <w:rFonts w:ascii="宋体" w:hAnsi="宋体" w:eastAsia="宋体" w:cs="Times New Roman"/>
          <w:sz w:val="24"/>
          <w:lang w:val="zh-CN"/>
        </w:rPr>
        <w:t>除免收受损失部分的合同费外，还应付给与</w:t>
      </w:r>
      <w:r>
        <w:rPr>
          <w:rFonts w:hint="eastAsia" w:ascii="宋体" w:hAnsi="宋体" w:eastAsia="宋体" w:cs="Times New Roman"/>
          <w:sz w:val="24"/>
          <w:lang w:val="zh-CN"/>
        </w:rPr>
        <w:t>委托人</w:t>
      </w:r>
      <w:r>
        <w:rPr>
          <w:rFonts w:ascii="宋体" w:hAnsi="宋体" w:eastAsia="宋体" w:cs="Times New Roman"/>
          <w:sz w:val="24"/>
          <w:lang w:val="zh-CN"/>
        </w:rPr>
        <w:t>在直接受损部分合同费等额的赔偿金。</w:t>
      </w:r>
    </w:p>
    <w:p w14:paraId="37FB4F8B">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14.2 如果</w:t>
      </w:r>
      <w:r>
        <w:rPr>
          <w:rFonts w:hint="eastAsia" w:ascii="宋体" w:hAnsi="宋体" w:eastAsia="宋体" w:cs="Times New Roman"/>
          <w:sz w:val="24"/>
          <w:lang w:val="zh-CN"/>
        </w:rPr>
        <w:t>受托人</w:t>
      </w:r>
      <w:r>
        <w:rPr>
          <w:rFonts w:ascii="宋体" w:hAnsi="宋体" w:eastAsia="宋体" w:cs="Times New Roman"/>
          <w:sz w:val="24"/>
          <w:lang w:val="zh-CN"/>
        </w:rPr>
        <w:t>提供的成果和服务与合同要求不符，则</w:t>
      </w:r>
      <w:r>
        <w:rPr>
          <w:rFonts w:hint="eastAsia" w:ascii="宋体" w:hAnsi="宋体" w:eastAsia="宋体" w:cs="Times New Roman"/>
          <w:sz w:val="24"/>
          <w:lang w:val="zh-CN"/>
        </w:rPr>
        <w:t>受托人</w:t>
      </w:r>
      <w:r>
        <w:rPr>
          <w:rFonts w:ascii="宋体" w:hAnsi="宋体" w:eastAsia="宋体" w:cs="Times New Roman"/>
          <w:sz w:val="24"/>
          <w:lang w:val="zh-CN"/>
        </w:rPr>
        <w:t>负有全部责任，</w:t>
      </w:r>
      <w:r>
        <w:rPr>
          <w:rFonts w:hint="eastAsia" w:ascii="宋体" w:hAnsi="宋体" w:eastAsia="宋体" w:cs="Times New Roman"/>
          <w:sz w:val="24"/>
          <w:lang w:val="zh-CN"/>
        </w:rPr>
        <w:t>委托人</w:t>
      </w:r>
      <w:r>
        <w:rPr>
          <w:rFonts w:ascii="宋体" w:hAnsi="宋体" w:eastAsia="宋体" w:cs="Times New Roman"/>
          <w:sz w:val="24"/>
          <w:lang w:val="zh-CN"/>
        </w:rPr>
        <w:t>有权因此向</w:t>
      </w:r>
      <w:r>
        <w:rPr>
          <w:rFonts w:hint="eastAsia" w:ascii="宋体" w:hAnsi="宋体" w:eastAsia="宋体" w:cs="Times New Roman"/>
          <w:sz w:val="24"/>
          <w:lang w:val="zh-CN"/>
        </w:rPr>
        <w:t>受托人</w:t>
      </w:r>
      <w:r>
        <w:rPr>
          <w:rFonts w:ascii="宋体" w:hAnsi="宋体" w:eastAsia="宋体" w:cs="Times New Roman"/>
          <w:sz w:val="24"/>
          <w:lang w:val="zh-CN"/>
        </w:rPr>
        <w:t>提出索赔，</w:t>
      </w:r>
      <w:r>
        <w:rPr>
          <w:rFonts w:hint="eastAsia" w:ascii="宋体" w:hAnsi="宋体" w:eastAsia="宋体" w:cs="Times New Roman"/>
          <w:sz w:val="24"/>
          <w:lang w:val="zh-CN"/>
        </w:rPr>
        <w:t>受托人</w:t>
      </w:r>
      <w:r>
        <w:rPr>
          <w:rFonts w:ascii="宋体" w:hAnsi="宋体" w:eastAsia="宋体" w:cs="Times New Roman"/>
          <w:sz w:val="24"/>
          <w:lang w:val="zh-CN"/>
        </w:rPr>
        <w:t>应支付相应部分合同费10~30%的违约金。</w:t>
      </w:r>
    </w:p>
    <w:p w14:paraId="3F274ADB">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14.3 如果</w:t>
      </w:r>
      <w:r>
        <w:rPr>
          <w:rFonts w:hint="eastAsia" w:ascii="宋体" w:hAnsi="宋体" w:eastAsia="宋体" w:cs="Times New Roman"/>
          <w:sz w:val="24"/>
          <w:lang w:val="zh-CN"/>
        </w:rPr>
        <w:t>委托人</w:t>
      </w:r>
      <w:r>
        <w:rPr>
          <w:rFonts w:ascii="宋体" w:hAnsi="宋体" w:eastAsia="宋体" w:cs="Times New Roman"/>
          <w:sz w:val="24"/>
          <w:lang w:val="zh-CN"/>
        </w:rPr>
        <w:t>提出索赔通知后30天内</w:t>
      </w:r>
      <w:r>
        <w:rPr>
          <w:rFonts w:hint="eastAsia" w:ascii="宋体" w:hAnsi="宋体" w:eastAsia="宋体" w:cs="Times New Roman"/>
          <w:sz w:val="24"/>
          <w:lang w:val="zh-CN"/>
        </w:rPr>
        <w:t>受托人</w:t>
      </w:r>
      <w:r>
        <w:rPr>
          <w:rFonts w:ascii="宋体" w:hAnsi="宋体" w:eastAsia="宋体" w:cs="Times New Roman"/>
          <w:sz w:val="24"/>
          <w:lang w:val="zh-CN"/>
        </w:rPr>
        <w:t>未能予以答复，该索赔应视为已被</w:t>
      </w:r>
      <w:r>
        <w:rPr>
          <w:rFonts w:hint="eastAsia" w:ascii="宋体" w:hAnsi="宋体" w:eastAsia="宋体" w:cs="Times New Roman"/>
          <w:sz w:val="24"/>
          <w:lang w:val="zh-CN"/>
        </w:rPr>
        <w:t>受托人</w:t>
      </w:r>
      <w:r>
        <w:rPr>
          <w:rFonts w:ascii="宋体" w:hAnsi="宋体" w:eastAsia="宋体" w:cs="Times New Roman"/>
          <w:sz w:val="24"/>
          <w:lang w:val="zh-CN"/>
        </w:rPr>
        <w:t>接受。若</w:t>
      </w:r>
      <w:r>
        <w:rPr>
          <w:rFonts w:hint="eastAsia" w:ascii="宋体" w:hAnsi="宋体" w:eastAsia="宋体" w:cs="Times New Roman"/>
          <w:sz w:val="24"/>
          <w:lang w:val="zh-CN"/>
        </w:rPr>
        <w:t>受托人</w:t>
      </w:r>
      <w:r>
        <w:rPr>
          <w:rFonts w:ascii="宋体" w:hAnsi="宋体" w:eastAsia="宋体" w:cs="Times New Roman"/>
          <w:sz w:val="24"/>
          <w:lang w:val="zh-CN"/>
        </w:rPr>
        <w:t>未能在</w:t>
      </w:r>
      <w:r>
        <w:rPr>
          <w:rFonts w:hint="eastAsia" w:ascii="宋体" w:hAnsi="宋体" w:eastAsia="宋体" w:cs="Times New Roman"/>
          <w:sz w:val="24"/>
          <w:lang w:val="zh-CN"/>
        </w:rPr>
        <w:t>委托人</w:t>
      </w:r>
      <w:r>
        <w:rPr>
          <w:rFonts w:ascii="宋体" w:hAnsi="宋体" w:eastAsia="宋体" w:cs="Times New Roman"/>
          <w:sz w:val="24"/>
          <w:lang w:val="zh-CN"/>
        </w:rPr>
        <w:t>提出索赔通知的30天内或</w:t>
      </w:r>
      <w:r>
        <w:rPr>
          <w:rFonts w:hint="eastAsia" w:ascii="宋体" w:hAnsi="宋体" w:eastAsia="宋体" w:cs="Times New Roman"/>
          <w:sz w:val="24"/>
          <w:lang w:val="zh-CN"/>
        </w:rPr>
        <w:t>委托人</w:t>
      </w:r>
      <w:r>
        <w:rPr>
          <w:rFonts w:ascii="宋体" w:hAnsi="宋体" w:eastAsia="宋体" w:cs="Times New Roman"/>
          <w:sz w:val="24"/>
          <w:lang w:val="zh-CN"/>
        </w:rPr>
        <w:t>同意的更长一些的时间内，按</w:t>
      </w:r>
      <w:r>
        <w:rPr>
          <w:rFonts w:hint="eastAsia" w:ascii="宋体" w:hAnsi="宋体" w:eastAsia="宋体" w:cs="Times New Roman"/>
          <w:sz w:val="24"/>
          <w:lang w:val="zh-CN"/>
        </w:rPr>
        <w:t>委托人</w:t>
      </w:r>
      <w:r>
        <w:rPr>
          <w:rFonts w:ascii="宋体" w:hAnsi="宋体" w:eastAsia="宋体" w:cs="Times New Roman"/>
          <w:sz w:val="24"/>
          <w:lang w:val="zh-CN"/>
        </w:rPr>
        <w:t>同意的方式处理索赔事宜，</w:t>
      </w:r>
      <w:r>
        <w:rPr>
          <w:rFonts w:hint="eastAsia" w:ascii="宋体" w:hAnsi="宋体" w:eastAsia="宋体" w:cs="Times New Roman"/>
          <w:sz w:val="24"/>
          <w:lang w:val="zh-CN"/>
        </w:rPr>
        <w:t>委托人</w:t>
      </w:r>
      <w:r>
        <w:rPr>
          <w:rFonts w:ascii="宋体" w:hAnsi="宋体" w:eastAsia="宋体" w:cs="Times New Roman"/>
          <w:sz w:val="24"/>
          <w:lang w:val="zh-CN"/>
        </w:rPr>
        <w:t>将从付款中扣回索赔金额，同时保留进一步要求赔偿的权利。</w:t>
      </w:r>
    </w:p>
    <w:p w14:paraId="616F98B6">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15、提交</w:t>
      </w:r>
      <w:r>
        <w:rPr>
          <w:rFonts w:hint="eastAsia" w:ascii="宋体" w:hAnsi="宋体" w:eastAsia="宋体" w:cs="Times New Roman"/>
          <w:b/>
          <w:sz w:val="24"/>
        </w:rPr>
        <w:t>设计咨询服务</w:t>
      </w:r>
      <w:r>
        <w:rPr>
          <w:rFonts w:ascii="宋体" w:hAnsi="宋体" w:eastAsia="宋体" w:cs="Times New Roman"/>
          <w:b/>
          <w:sz w:val="24"/>
        </w:rPr>
        <w:t>成果与核定损失额</w:t>
      </w:r>
    </w:p>
    <w:p w14:paraId="11426034">
      <w:pPr>
        <w:adjustRightInd w:val="0"/>
        <w:snapToGrid w:val="0"/>
        <w:spacing w:line="360" w:lineRule="auto"/>
        <w:ind w:firstLine="480" w:firstLineChars="200"/>
        <w:rPr>
          <w:rFonts w:hint="eastAsia" w:ascii="宋体" w:hAnsi="宋体" w:eastAsia="宋体" w:cs="Times New Roman"/>
          <w:sz w:val="24"/>
        </w:rPr>
      </w:pPr>
      <w:r>
        <w:rPr>
          <w:rFonts w:ascii="宋体" w:hAnsi="宋体" w:eastAsia="宋体" w:cs="Times New Roman"/>
          <w:sz w:val="24"/>
          <w:lang w:val="zh-CN"/>
        </w:rPr>
        <w:t>15.1 如果</w:t>
      </w:r>
      <w:r>
        <w:rPr>
          <w:rFonts w:hint="eastAsia" w:ascii="宋体" w:hAnsi="宋体" w:eastAsia="宋体" w:cs="Times New Roman"/>
          <w:sz w:val="24"/>
          <w:lang w:val="zh-CN"/>
        </w:rPr>
        <w:t>受托人</w:t>
      </w:r>
      <w:r>
        <w:rPr>
          <w:rFonts w:ascii="宋体" w:hAnsi="宋体" w:eastAsia="宋体" w:cs="Times New Roman"/>
          <w:sz w:val="24"/>
          <w:lang w:val="zh-CN"/>
        </w:rPr>
        <w:t>未能按合同规定的时间按期交付成果（本通用条款第16条规定的不可抗力、第17.1条规定的合同双方同意终止合同和第17.4条规定的因</w:t>
      </w:r>
      <w:r>
        <w:rPr>
          <w:rFonts w:hint="eastAsia" w:ascii="宋体" w:hAnsi="宋体" w:eastAsia="宋体" w:cs="Times New Roman"/>
          <w:sz w:val="24"/>
          <w:lang w:val="zh-CN"/>
        </w:rPr>
        <w:t>委托人</w:t>
      </w:r>
      <w:r>
        <w:rPr>
          <w:rFonts w:ascii="宋体" w:hAnsi="宋体" w:eastAsia="宋体" w:cs="Times New Roman"/>
          <w:sz w:val="24"/>
          <w:lang w:val="zh-CN"/>
        </w:rPr>
        <w:t>原因而终止合同除外），在</w:t>
      </w:r>
      <w:r>
        <w:rPr>
          <w:rFonts w:hint="eastAsia" w:ascii="宋体" w:hAnsi="宋体" w:eastAsia="宋体" w:cs="Times New Roman"/>
          <w:sz w:val="24"/>
          <w:lang w:val="zh-CN"/>
        </w:rPr>
        <w:t>受托人</w:t>
      </w:r>
      <w:r>
        <w:rPr>
          <w:rFonts w:ascii="宋体" w:hAnsi="宋体" w:eastAsia="宋体" w:cs="Times New Roman"/>
          <w:sz w:val="24"/>
          <w:lang w:val="zh-CN"/>
        </w:rPr>
        <w:t>同意支付核定损失额的条件下，</w:t>
      </w:r>
      <w:r>
        <w:rPr>
          <w:rFonts w:hint="eastAsia" w:ascii="宋体" w:hAnsi="宋体" w:eastAsia="宋体" w:cs="Times New Roman"/>
          <w:sz w:val="24"/>
          <w:lang w:val="zh-CN"/>
        </w:rPr>
        <w:t>委托人</w:t>
      </w:r>
      <w:r>
        <w:rPr>
          <w:rFonts w:ascii="宋体" w:hAnsi="宋体" w:eastAsia="宋体" w:cs="Times New Roman"/>
          <w:sz w:val="24"/>
          <w:lang w:val="zh-CN"/>
        </w:rPr>
        <w:t>将同意延长</w:t>
      </w:r>
      <w:r>
        <w:rPr>
          <w:rFonts w:hint="eastAsia" w:ascii="宋体" w:hAnsi="宋体" w:eastAsia="宋体" w:cs="Times New Roman"/>
          <w:sz w:val="24"/>
          <w:lang w:val="zh-CN"/>
        </w:rPr>
        <w:t>设计咨询服务</w:t>
      </w:r>
      <w:r>
        <w:rPr>
          <w:rFonts w:ascii="宋体" w:hAnsi="宋体" w:eastAsia="宋体" w:cs="Times New Roman"/>
          <w:sz w:val="24"/>
          <w:lang w:val="zh-CN"/>
        </w:rPr>
        <w:t>成果提交期。</w:t>
      </w:r>
      <w:r>
        <w:rPr>
          <w:rFonts w:ascii="宋体" w:hAnsi="宋体" w:eastAsia="宋体" w:cs="Times New Roman"/>
          <w:sz w:val="24"/>
        </w:rPr>
        <w:t>每延一天，</w:t>
      </w:r>
      <w:r>
        <w:rPr>
          <w:rFonts w:hint="eastAsia" w:ascii="宋体" w:hAnsi="宋体" w:eastAsia="宋体" w:cs="Times New Roman"/>
          <w:sz w:val="24"/>
        </w:rPr>
        <w:t>受托人</w:t>
      </w:r>
      <w:r>
        <w:rPr>
          <w:rFonts w:ascii="宋体" w:hAnsi="宋体" w:eastAsia="宋体" w:cs="Times New Roman"/>
          <w:sz w:val="24"/>
        </w:rPr>
        <w:t>按逾期部分合同费的千分之二向</w:t>
      </w:r>
      <w:r>
        <w:rPr>
          <w:rFonts w:hint="eastAsia" w:ascii="宋体" w:hAnsi="宋体" w:eastAsia="宋体" w:cs="Times New Roman"/>
          <w:sz w:val="24"/>
        </w:rPr>
        <w:t>委托人</w:t>
      </w:r>
      <w:r>
        <w:rPr>
          <w:rFonts w:ascii="宋体" w:hAnsi="宋体" w:eastAsia="宋体" w:cs="Times New Roman"/>
          <w:sz w:val="24"/>
        </w:rPr>
        <w:t>支付违约金。</w:t>
      </w:r>
    </w:p>
    <w:p w14:paraId="3A715573">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15.2 如果</w:t>
      </w:r>
      <w:r>
        <w:rPr>
          <w:rFonts w:hint="eastAsia" w:ascii="宋体" w:hAnsi="宋体" w:eastAsia="宋体" w:cs="Times New Roman"/>
          <w:sz w:val="24"/>
          <w:lang w:val="zh-CN"/>
        </w:rPr>
        <w:t>受托人</w:t>
      </w:r>
      <w:r>
        <w:rPr>
          <w:rFonts w:ascii="宋体" w:hAnsi="宋体" w:eastAsia="宋体" w:cs="Times New Roman"/>
          <w:sz w:val="24"/>
          <w:lang w:val="zh-CN"/>
        </w:rPr>
        <w:t>在达到核定损失额的最高限额后仍不能提交成果，</w:t>
      </w:r>
      <w:r>
        <w:rPr>
          <w:rFonts w:hint="eastAsia" w:ascii="宋体" w:hAnsi="宋体" w:eastAsia="宋体" w:cs="Times New Roman"/>
          <w:sz w:val="24"/>
          <w:lang w:val="zh-CN"/>
        </w:rPr>
        <w:t>委托人</w:t>
      </w:r>
      <w:r>
        <w:rPr>
          <w:rFonts w:ascii="宋体" w:hAnsi="宋体" w:eastAsia="宋体" w:cs="Times New Roman"/>
          <w:sz w:val="24"/>
          <w:lang w:val="zh-CN"/>
        </w:rPr>
        <w:t>有权因</w:t>
      </w:r>
      <w:r>
        <w:rPr>
          <w:rFonts w:hint="eastAsia" w:ascii="宋体" w:hAnsi="宋体" w:eastAsia="宋体" w:cs="Times New Roman"/>
          <w:sz w:val="24"/>
          <w:lang w:val="zh-CN"/>
        </w:rPr>
        <w:t>受托人</w:t>
      </w:r>
      <w:r>
        <w:rPr>
          <w:rFonts w:ascii="宋体" w:hAnsi="宋体" w:eastAsia="宋体" w:cs="Times New Roman"/>
          <w:sz w:val="24"/>
          <w:lang w:val="zh-CN"/>
        </w:rPr>
        <w:t>违约终止合同，而</w:t>
      </w:r>
      <w:r>
        <w:rPr>
          <w:rFonts w:hint="eastAsia" w:ascii="宋体" w:hAnsi="宋体" w:eastAsia="宋体" w:cs="Times New Roman"/>
          <w:sz w:val="24"/>
          <w:lang w:val="zh-CN"/>
        </w:rPr>
        <w:t>受托人</w:t>
      </w:r>
      <w:r>
        <w:rPr>
          <w:rFonts w:ascii="宋体" w:hAnsi="宋体" w:eastAsia="宋体" w:cs="Times New Roman"/>
          <w:sz w:val="24"/>
          <w:lang w:val="zh-CN"/>
        </w:rPr>
        <w:t>仍有义务支付上述迟交核定损失金额。</w:t>
      </w:r>
    </w:p>
    <w:p w14:paraId="28E7FD36">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15.3 如果</w:t>
      </w:r>
      <w:r>
        <w:rPr>
          <w:rFonts w:hint="eastAsia" w:ascii="宋体" w:hAnsi="宋体" w:eastAsia="宋体" w:cs="Times New Roman"/>
          <w:sz w:val="24"/>
          <w:lang w:val="zh-CN"/>
        </w:rPr>
        <w:t>委托人</w:t>
      </w:r>
      <w:r>
        <w:rPr>
          <w:rFonts w:ascii="宋体" w:hAnsi="宋体" w:eastAsia="宋体" w:cs="Times New Roman"/>
          <w:sz w:val="24"/>
          <w:lang w:val="zh-CN"/>
        </w:rPr>
        <w:t>使服务受到阻碍或延误，以致增加了服务的工作量或持续时间，则：</w:t>
      </w:r>
    </w:p>
    <w:p w14:paraId="66E9D1B0">
      <w:pPr>
        <w:tabs>
          <w:tab w:val="left" w:pos="1080"/>
          <w:tab w:val="left" w:pos="1155"/>
        </w:tabs>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15.3.1 </w:t>
      </w:r>
      <w:r>
        <w:rPr>
          <w:rFonts w:hint="eastAsia" w:ascii="宋体" w:hAnsi="宋体" w:eastAsia="宋体" w:cs="Times New Roman"/>
          <w:sz w:val="24"/>
          <w:lang w:val="zh-CN"/>
        </w:rPr>
        <w:t>受托人</w:t>
      </w:r>
      <w:r>
        <w:rPr>
          <w:rFonts w:ascii="宋体" w:hAnsi="宋体" w:eastAsia="宋体" w:cs="Times New Roman"/>
          <w:sz w:val="24"/>
          <w:lang w:val="zh-CN"/>
        </w:rPr>
        <w:t>应将此情况与可能产生的影响通知</w:t>
      </w:r>
      <w:r>
        <w:rPr>
          <w:rFonts w:hint="eastAsia" w:ascii="宋体" w:hAnsi="宋体" w:eastAsia="宋体" w:cs="Times New Roman"/>
          <w:sz w:val="24"/>
          <w:lang w:val="zh-CN"/>
        </w:rPr>
        <w:t>委托人</w:t>
      </w:r>
      <w:r>
        <w:rPr>
          <w:rFonts w:ascii="宋体" w:hAnsi="宋体" w:eastAsia="宋体" w:cs="Times New Roman"/>
          <w:sz w:val="24"/>
          <w:lang w:val="zh-CN"/>
        </w:rPr>
        <w:t>；</w:t>
      </w:r>
    </w:p>
    <w:p w14:paraId="331E3B4F">
      <w:pPr>
        <w:tabs>
          <w:tab w:val="left" w:pos="1080"/>
          <w:tab w:val="left" w:pos="1155"/>
        </w:tabs>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15.3.2 完成全部服务的时间应相应地予以延长。</w:t>
      </w:r>
    </w:p>
    <w:p w14:paraId="29D60E88">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15.4 如果出现按照本合同</w:t>
      </w:r>
      <w:r>
        <w:rPr>
          <w:rFonts w:hint="eastAsia" w:ascii="宋体" w:hAnsi="宋体" w:eastAsia="宋体" w:cs="Times New Roman"/>
          <w:sz w:val="24"/>
          <w:lang w:val="zh-CN"/>
        </w:rPr>
        <w:t>受托人</w:t>
      </w:r>
      <w:r>
        <w:rPr>
          <w:rFonts w:ascii="宋体" w:hAnsi="宋体" w:eastAsia="宋体" w:cs="Times New Roman"/>
          <w:sz w:val="24"/>
          <w:lang w:val="zh-CN"/>
        </w:rPr>
        <w:t>不能负责任的情况，以及该情况使</w:t>
      </w:r>
      <w:r>
        <w:rPr>
          <w:rFonts w:hint="eastAsia" w:ascii="宋体" w:hAnsi="宋体" w:eastAsia="宋体" w:cs="Times New Roman"/>
          <w:sz w:val="24"/>
          <w:lang w:val="zh-CN"/>
        </w:rPr>
        <w:t>受托人</w:t>
      </w:r>
      <w:r>
        <w:rPr>
          <w:rFonts w:ascii="宋体" w:hAnsi="宋体" w:eastAsia="宋体" w:cs="Times New Roman"/>
          <w:sz w:val="24"/>
          <w:lang w:val="zh-CN"/>
        </w:rPr>
        <w:t>不能负责或不能履行全部或部分服务时，应立即通知</w:t>
      </w:r>
      <w:r>
        <w:rPr>
          <w:rFonts w:hint="eastAsia" w:ascii="宋体" w:hAnsi="宋体" w:eastAsia="宋体" w:cs="Times New Roman"/>
          <w:sz w:val="24"/>
          <w:lang w:val="zh-CN"/>
        </w:rPr>
        <w:t>委托人</w:t>
      </w:r>
      <w:r>
        <w:rPr>
          <w:rFonts w:ascii="宋体" w:hAnsi="宋体" w:eastAsia="宋体" w:cs="Times New Roman"/>
          <w:sz w:val="24"/>
          <w:lang w:val="zh-CN"/>
        </w:rPr>
        <w:t>。</w:t>
      </w:r>
    </w:p>
    <w:p w14:paraId="13F8402A">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15.5 如果不得不暂停某些服务时，则该类服务的完成期限应予延长，直至此种情况不再持续。</w:t>
      </w:r>
    </w:p>
    <w:p w14:paraId="35C24D0C">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15.6 如果履行某些服务的速度不得不减慢，则该类服务的完成期限由于此种情况可能必须给予延长。</w:t>
      </w:r>
    </w:p>
    <w:p w14:paraId="7A128B44">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16、不可抗力</w:t>
      </w:r>
    </w:p>
    <w:p w14:paraId="34759B9A">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rPr>
        <w:t xml:space="preserve">16.1 </w:t>
      </w:r>
      <w:r>
        <w:rPr>
          <w:rFonts w:ascii="宋体" w:hAnsi="宋体" w:eastAsia="宋体" w:cs="Times New Roman"/>
          <w:sz w:val="24"/>
          <w:lang w:val="zh-CN"/>
        </w:rPr>
        <w:t>签约双方任一方由于受诸如战争、严重火灾、洪水、台风、地震、流行病、防疫限制等不可抗力事故的影响而不能执行合同时，履行合同的期限应予以延长，则延长的期限相当于事故所影响的时间。不可抗力事故系指双方在缔结合同时所不能预见的，并且它的发生及其后果是无法避免和无法克服的事故。</w:t>
      </w:r>
    </w:p>
    <w:p w14:paraId="1EDF2C01">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16.2 受阻一方应在不可抗力事故发生后尽快用电报、传真或电传通知对方，并于事故发生后14天内将有关当局出具的证明文件用特快专递或挂号信寄给对方审阅确认。一旦不可抗力事故的影响持续120天以上，双方应通过友好协商在合理的时间内达成进一步履行合同的协议或终止合同的协议。</w:t>
      </w:r>
    </w:p>
    <w:p w14:paraId="72A7D9A8">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17、合同的终止</w:t>
      </w:r>
    </w:p>
    <w:p w14:paraId="2C56042F">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17.1 合同义务履行完成终止合同</w:t>
      </w:r>
    </w:p>
    <w:p w14:paraId="7AEB462E">
      <w:pPr>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当合同双方完成了合同中规定的责任和义务，合同终止。</w:t>
      </w:r>
    </w:p>
    <w:p w14:paraId="2EF03B03">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17.2 同意终止合同</w:t>
      </w:r>
    </w:p>
    <w:p w14:paraId="5114B5EF">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17.2.1 若双方同意，合同可以在任何条件下终止。</w:t>
      </w:r>
    </w:p>
    <w:p w14:paraId="2294757B">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17.2.2 在本条款第17.2.1条的情况下，合同双方则将无例外的免去除已履行的义务外的双方所有的合同规定的责任和义务。</w:t>
      </w:r>
    </w:p>
    <w:p w14:paraId="346BB97D">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17.3 因</w:t>
      </w:r>
      <w:r>
        <w:rPr>
          <w:rFonts w:hint="eastAsia" w:ascii="宋体" w:hAnsi="宋体" w:eastAsia="宋体" w:cs="Times New Roman"/>
          <w:sz w:val="24"/>
          <w:lang w:val="zh-CN"/>
        </w:rPr>
        <w:t>受托人</w:t>
      </w:r>
      <w:r>
        <w:rPr>
          <w:rFonts w:ascii="宋体" w:hAnsi="宋体" w:eastAsia="宋体" w:cs="Times New Roman"/>
          <w:sz w:val="24"/>
          <w:lang w:val="zh-CN"/>
        </w:rPr>
        <w:t>违约终止合同</w:t>
      </w:r>
    </w:p>
    <w:p w14:paraId="23B7C708">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17.3.1 如果</w:t>
      </w:r>
      <w:r>
        <w:rPr>
          <w:rFonts w:hint="eastAsia" w:ascii="宋体" w:hAnsi="宋体" w:eastAsia="宋体" w:cs="Times New Roman"/>
          <w:sz w:val="24"/>
          <w:lang w:val="zh-CN"/>
        </w:rPr>
        <w:t>委托人</w:t>
      </w:r>
      <w:r>
        <w:rPr>
          <w:rFonts w:ascii="宋体" w:hAnsi="宋体" w:eastAsia="宋体" w:cs="Times New Roman"/>
          <w:sz w:val="24"/>
          <w:lang w:val="zh-CN"/>
        </w:rPr>
        <w:t>发现以下违约情形之一后可向</w:t>
      </w:r>
      <w:r>
        <w:rPr>
          <w:rFonts w:hint="eastAsia" w:ascii="宋体" w:hAnsi="宋体" w:eastAsia="宋体" w:cs="Times New Roman"/>
          <w:sz w:val="24"/>
          <w:lang w:val="zh-CN"/>
        </w:rPr>
        <w:t>受托人</w:t>
      </w:r>
      <w:r>
        <w:rPr>
          <w:rFonts w:ascii="宋体" w:hAnsi="宋体" w:eastAsia="宋体" w:cs="Times New Roman"/>
          <w:sz w:val="24"/>
          <w:lang w:val="zh-CN"/>
        </w:rPr>
        <w:t>发出书面违约通知书，提出终止部分或全部合同，并且</w:t>
      </w:r>
      <w:r>
        <w:rPr>
          <w:rFonts w:hint="eastAsia" w:ascii="宋体" w:hAnsi="宋体" w:eastAsia="宋体" w:cs="Times New Roman"/>
          <w:sz w:val="24"/>
          <w:lang w:val="zh-CN"/>
        </w:rPr>
        <w:t>受托人</w:t>
      </w:r>
      <w:r>
        <w:rPr>
          <w:rFonts w:ascii="宋体" w:hAnsi="宋体" w:eastAsia="宋体" w:cs="Times New Roman"/>
          <w:sz w:val="24"/>
          <w:lang w:val="zh-CN"/>
        </w:rPr>
        <w:t>应向</w:t>
      </w:r>
      <w:r>
        <w:rPr>
          <w:rFonts w:hint="eastAsia" w:ascii="宋体" w:hAnsi="宋体" w:eastAsia="宋体" w:cs="Times New Roman"/>
          <w:sz w:val="24"/>
          <w:lang w:val="zh-CN"/>
        </w:rPr>
        <w:t>委托人</w:t>
      </w:r>
      <w:r>
        <w:rPr>
          <w:rFonts w:ascii="宋体" w:hAnsi="宋体" w:eastAsia="宋体" w:cs="Times New Roman"/>
          <w:sz w:val="24"/>
          <w:lang w:val="zh-CN"/>
        </w:rPr>
        <w:t>按相应合同费的10％~30％支付违约金：</w:t>
      </w:r>
    </w:p>
    <w:p w14:paraId="5C5B307B">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hint="eastAsia" w:ascii="宋体" w:hAnsi="宋体" w:eastAsia="宋体" w:cs="Times New Roman"/>
          <w:sz w:val="24"/>
          <w:lang w:val="zh-CN"/>
        </w:rPr>
        <w:t>（</w:t>
      </w:r>
      <w:r>
        <w:rPr>
          <w:rFonts w:ascii="宋体" w:hAnsi="宋体" w:eastAsia="宋体" w:cs="Times New Roman"/>
          <w:sz w:val="24"/>
          <w:lang w:val="zh-CN"/>
        </w:rPr>
        <w:t>1）如果</w:t>
      </w:r>
      <w:r>
        <w:rPr>
          <w:rFonts w:hint="eastAsia" w:ascii="宋体" w:hAnsi="宋体" w:eastAsia="宋体" w:cs="Times New Roman"/>
          <w:sz w:val="24"/>
          <w:lang w:val="zh-CN"/>
        </w:rPr>
        <w:t>受托人</w:t>
      </w:r>
      <w:r>
        <w:rPr>
          <w:rFonts w:ascii="宋体" w:hAnsi="宋体" w:eastAsia="宋体" w:cs="Times New Roman"/>
          <w:sz w:val="24"/>
          <w:lang w:val="zh-CN"/>
        </w:rPr>
        <w:t>无能力进行的相关的服务或不能按时提供规定的成果供</w:t>
      </w:r>
      <w:r>
        <w:rPr>
          <w:rFonts w:hint="eastAsia" w:ascii="宋体" w:hAnsi="宋体" w:eastAsia="宋体" w:cs="Times New Roman"/>
          <w:sz w:val="24"/>
          <w:lang w:val="zh-CN"/>
        </w:rPr>
        <w:t>委托人</w:t>
      </w:r>
      <w:r>
        <w:rPr>
          <w:rFonts w:ascii="宋体" w:hAnsi="宋体" w:eastAsia="宋体" w:cs="Times New Roman"/>
          <w:sz w:val="24"/>
          <w:lang w:val="zh-CN"/>
        </w:rPr>
        <w:t>认可；</w:t>
      </w:r>
    </w:p>
    <w:p w14:paraId="315FCFD4">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hint="eastAsia" w:ascii="宋体" w:hAnsi="宋体" w:eastAsia="宋体" w:cs="Times New Roman"/>
          <w:sz w:val="24"/>
          <w:lang w:val="zh-CN"/>
        </w:rPr>
        <w:t>（</w:t>
      </w:r>
      <w:r>
        <w:rPr>
          <w:rFonts w:ascii="宋体" w:hAnsi="宋体" w:eastAsia="宋体" w:cs="Times New Roman"/>
          <w:sz w:val="24"/>
          <w:lang w:val="zh-CN"/>
        </w:rPr>
        <w:t>2）如果</w:t>
      </w:r>
      <w:r>
        <w:rPr>
          <w:rFonts w:hint="eastAsia" w:ascii="宋体" w:hAnsi="宋体" w:eastAsia="宋体" w:cs="Times New Roman"/>
          <w:sz w:val="24"/>
          <w:lang w:val="zh-CN"/>
        </w:rPr>
        <w:t>受托人</w:t>
      </w:r>
      <w:r>
        <w:rPr>
          <w:rFonts w:ascii="宋体" w:hAnsi="宋体" w:eastAsia="宋体" w:cs="Times New Roman"/>
          <w:sz w:val="24"/>
          <w:lang w:val="zh-CN"/>
        </w:rPr>
        <w:t>长期未能通过成果或服务的</w:t>
      </w:r>
      <w:r>
        <w:rPr>
          <w:rFonts w:hint="eastAsia" w:ascii="宋体" w:hAnsi="宋体" w:eastAsia="宋体" w:cs="Times New Roman"/>
          <w:sz w:val="24"/>
          <w:lang w:val="zh-CN"/>
        </w:rPr>
        <w:t>委托人</w:t>
      </w:r>
      <w:r>
        <w:rPr>
          <w:rFonts w:ascii="宋体" w:hAnsi="宋体" w:eastAsia="宋体" w:cs="Times New Roman"/>
          <w:sz w:val="24"/>
          <w:lang w:val="zh-CN"/>
        </w:rPr>
        <w:t>的检查；</w:t>
      </w:r>
    </w:p>
    <w:p w14:paraId="43B4B622">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hint="eastAsia" w:ascii="宋体" w:hAnsi="宋体" w:eastAsia="宋体" w:cs="Times New Roman"/>
          <w:sz w:val="24"/>
          <w:lang w:val="zh-CN"/>
        </w:rPr>
        <w:t>（</w:t>
      </w:r>
      <w:r>
        <w:rPr>
          <w:rFonts w:ascii="宋体" w:hAnsi="宋体" w:eastAsia="宋体" w:cs="Times New Roman"/>
          <w:sz w:val="24"/>
          <w:lang w:val="zh-CN"/>
        </w:rPr>
        <w:t>3）如果</w:t>
      </w:r>
      <w:r>
        <w:rPr>
          <w:rFonts w:hint="eastAsia" w:ascii="宋体" w:hAnsi="宋体" w:eastAsia="宋体" w:cs="Times New Roman"/>
          <w:sz w:val="24"/>
          <w:lang w:val="zh-CN"/>
        </w:rPr>
        <w:t>受托人</w:t>
      </w:r>
      <w:r>
        <w:rPr>
          <w:rFonts w:ascii="宋体" w:hAnsi="宋体" w:eastAsia="宋体" w:cs="Times New Roman"/>
          <w:sz w:val="24"/>
          <w:lang w:val="zh-CN"/>
        </w:rPr>
        <w:t>不具备合同要求的工作条件或未能按照合同规定的工作方式进行；</w:t>
      </w:r>
    </w:p>
    <w:p w14:paraId="06BC0016">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hint="eastAsia" w:ascii="宋体" w:hAnsi="宋体" w:eastAsia="宋体" w:cs="Times New Roman"/>
          <w:sz w:val="24"/>
          <w:lang w:val="zh-CN"/>
        </w:rPr>
        <w:t>（</w:t>
      </w:r>
      <w:r>
        <w:rPr>
          <w:rFonts w:ascii="宋体" w:hAnsi="宋体" w:eastAsia="宋体" w:cs="Times New Roman"/>
          <w:sz w:val="24"/>
          <w:lang w:val="zh-CN"/>
        </w:rPr>
        <w:t>4）如果</w:t>
      </w:r>
      <w:r>
        <w:rPr>
          <w:rFonts w:hint="eastAsia" w:ascii="宋体" w:hAnsi="宋体" w:eastAsia="宋体" w:cs="Times New Roman"/>
          <w:sz w:val="24"/>
          <w:lang w:val="zh-CN"/>
        </w:rPr>
        <w:t>受托人</w:t>
      </w:r>
      <w:r>
        <w:rPr>
          <w:rFonts w:ascii="宋体" w:hAnsi="宋体" w:eastAsia="宋体" w:cs="Times New Roman"/>
          <w:sz w:val="24"/>
          <w:lang w:val="zh-CN"/>
        </w:rPr>
        <w:t>在合同规定的期限或</w:t>
      </w:r>
      <w:r>
        <w:rPr>
          <w:rFonts w:hint="eastAsia" w:ascii="宋体" w:hAnsi="宋体" w:eastAsia="宋体" w:cs="Times New Roman"/>
          <w:sz w:val="24"/>
          <w:lang w:val="zh-CN"/>
        </w:rPr>
        <w:t>委托人</w:t>
      </w:r>
      <w:r>
        <w:rPr>
          <w:rFonts w:ascii="宋体" w:hAnsi="宋体" w:eastAsia="宋体" w:cs="Times New Roman"/>
          <w:sz w:val="24"/>
          <w:lang w:val="zh-CN"/>
        </w:rPr>
        <w:t>同意延长的期限内未能提供符合合同规定的部分或全部成果或服务；</w:t>
      </w:r>
    </w:p>
    <w:p w14:paraId="755BF546">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hint="eastAsia" w:ascii="宋体" w:hAnsi="宋体" w:eastAsia="宋体" w:cs="Times New Roman"/>
          <w:sz w:val="24"/>
          <w:lang w:val="zh-CN"/>
        </w:rPr>
        <w:t>（</w:t>
      </w:r>
      <w:r>
        <w:rPr>
          <w:rFonts w:ascii="宋体" w:hAnsi="宋体" w:eastAsia="宋体" w:cs="Times New Roman"/>
          <w:sz w:val="24"/>
          <w:lang w:val="zh-CN"/>
        </w:rPr>
        <w:t>5）如果</w:t>
      </w:r>
      <w:r>
        <w:rPr>
          <w:rFonts w:hint="eastAsia" w:ascii="宋体" w:hAnsi="宋体" w:eastAsia="宋体" w:cs="Times New Roman"/>
          <w:sz w:val="24"/>
          <w:lang w:val="zh-CN"/>
        </w:rPr>
        <w:t>受托人</w:t>
      </w:r>
      <w:r>
        <w:rPr>
          <w:rFonts w:ascii="宋体" w:hAnsi="宋体" w:eastAsia="宋体" w:cs="Times New Roman"/>
          <w:sz w:val="24"/>
          <w:lang w:val="zh-CN"/>
        </w:rPr>
        <w:t>未能履行合同规定的其他任何义务；</w:t>
      </w:r>
    </w:p>
    <w:p w14:paraId="63DD81DA">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hint="eastAsia" w:ascii="宋体" w:hAnsi="宋体" w:eastAsia="宋体" w:cs="Times New Roman"/>
          <w:sz w:val="24"/>
          <w:lang w:val="zh-CN"/>
        </w:rPr>
        <w:t>（</w:t>
      </w:r>
      <w:r>
        <w:rPr>
          <w:rFonts w:ascii="宋体" w:hAnsi="宋体" w:eastAsia="宋体" w:cs="Times New Roman"/>
          <w:sz w:val="24"/>
          <w:lang w:val="zh-CN"/>
        </w:rPr>
        <w:t>6</w:t>
      </w:r>
      <w:r>
        <w:rPr>
          <w:rFonts w:hint="eastAsia" w:ascii="宋体" w:hAnsi="宋体" w:eastAsia="宋体" w:cs="Times New Roman"/>
          <w:sz w:val="24"/>
          <w:lang w:val="zh-CN"/>
        </w:rPr>
        <w:t>）</w:t>
      </w:r>
      <w:r>
        <w:rPr>
          <w:rFonts w:ascii="宋体" w:hAnsi="宋体" w:eastAsia="宋体" w:cs="Times New Roman"/>
          <w:sz w:val="24"/>
          <w:lang w:val="zh-CN"/>
        </w:rPr>
        <w:t>如果</w:t>
      </w:r>
      <w:r>
        <w:rPr>
          <w:rFonts w:hint="eastAsia" w:ascii="宋体" w:hAnsi="宋体" w:eastAsia="宋体" w:cs="Times New Roman"/>
          <w:sz w:val="24"/>
          <w:lang w:val="zh-CN"/>
        </w:rPr>
        <w:t>委托人</w:t>
      </w:r>
      <w:r>
        <w:rPr>
          <w:rFonts w:ascii="宋体" w:hAnsi="宋体" w:eastAsia="宋体" w:cs="Times New Roman"/>
          <w:sz w:val="24"/>
          <w:lang w:val="zh-CN"/>
        </w:rPr>
        <w:t>认为</w:t>
      </w:r>
      <w:r>
        <w:rPr>
          <w:rFonts w:hint="eastAsia" w:ascii="宋体" w:hAnsi="宋体" w:eastAsia="宋体" w:cs="Times New Roman"/>
          <w:sz w:val="24"/>
          <w:lang w:val="zh-CN"/>
        </w:rPr>
        <w:t>受托人</w:t>
      </w:r>
      <w:r>
        <w:rPr>
          <w:rFonts w:ascii="宋体" w:hAnsi="宋体" w:eastAsia="宋体" w:cs="Times New Roman"/>
          <w:sz w:val="24"/>
          <w:lang w:val="zh-CN"/>
        </w:rPr>
        <w:t>在本合同的竞争和实施过程中有腐败和欺诈行为。</w:t>
      </w:r>
    </w:p>
    <w:p w14:paraId="43CB791D">
      <w:pPr>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为此目的，定义下述条件：</w:t>
      </w:r>
    </w:p>
    <w:p w14:paraId="6FF21D1B">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1）“腐败行为”是指提供、给予、接受或索取任何有价值的东西来影响有关人员在合同实施过程中的行为； </w:t>
      </w:r>
    </w:p>
    <w:p w14:paraId="36539144">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2）“欺诈行为”是指为了影响合同实施过程而谎报事实，损害</w:t>
      </w:r>
      <w:r>
        <w:rPr>
          <w:rFonts w:hint="eastAsia" w:ascii="宋体" w:hAnsi="宋体" w:eastAsia="宋体" w:cs="Times New Roman"/>
          <w:sz w:val="24"/>
          <w:lang w:val="zh-CN"/>
        </w:rPr>
        <w:t>委托人</w:t>
      </w:r>
      <w:r>
        <w:rPr>
          <w:rFonts w:ascii="宋体" w:hAnsi="宋体" w:eastAsia="宋体" w:cs="Times New Roman"/>
          <w:sz w:val="24"/>
          <w:lang w:val="zh-CN"/>
        </w:rPr>
        <w:t>的利益，包括</w:t>
      </w:r>
      <w:r>
        <w:rPr>
          <w:rFonts w:hint="eastAsia" w:ascii="宋体" w:hAnsi="宋体" w:eastAsia="宋体" w:cs="Times New Roman"/>
          <w:sz w:val="24"/>
          <w:lang w:val="zh-CN"/>
        </w:rPr>
        <w:t>受托人</w:t>
      </w:r>
      <w:r>
        <w:rPr>
          <w:rFonts w:ascii="宋体" w:hAnsi="宋体" w:eastAsia="宋体" w:cs="Times New Roman"/>
          <w:sz w:val="24"/>
          <w:lang w:val="zh-CN"/>
        </w:rPr>
        <w:t>之间串通投标（递交投标书之前和之后），人为地使各投标价丧失竞争性，剥夺</w:t>
      </w:r>
      <w:r>
        <w:rPr>
          <w:rFonts w:hint="eastAsia" w:ascii="宋体" w:hAnsi="宋体" w:eastAsia="宋体" w:cs="Times New Roman"/>
          <w:sz w:val="24"/>
          <w:lang w:val="zh-CN"/>
        </w:rPr>
        <w:t>委托人</w:t>
      </w:r>
      <w:r>
        <w:rPr>
          <w:rFonts w:ascii="宋体" w:hAnsi="宋体" w:eastAsia="宋体" w:cs="Times New Roman"/>
          <w:sz w:val="24"/>
          <w:lang w:val="zh-CN"/>
        </w:rPr>
        <w:t>从自由公开竞争所获得的权益。</w:t>
      </w:r>
    </w:p>
    <w:p w14:paraId="3EF8AC4E">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17.3.2 如果</w:t>
      </w:r>
      <w:r>
        <w:rPr>
          <w:rFonts w:hint="eastAsia" w:ascii="宋体" w:hAnsi="宋体" w:eastAsia="宋体" w:cs="Times New Roman"/>
          <w:sz w:val="24"/>
          <w:lang w:val="zh-CN"/>
        </w:rPr>
        <w:t>委托人</w:t>
      </w:r>
      <w:r>
        <w:rPr>
          <w:rFonts w:ascii="宋体" w:hAnsi="宋体" w:eastAsia="宋体" w:cs="Times New Roman"/>
          <w:sz w:val="24"/>
          <w:lang w:val="zh-CN"/>
        </w:rPr>
        <w:t>根据本条款第17.3.1条的规定，发出违约通知书15天（或经</w:t>
      </w:r>
      <w:r>
        <w:rPr>
          <w:rFonts w:hint="eastAsia" w:ascii="宋体" w:hAnsi="宋体" w:eastAsia="宋体" w:cs="Times New Roman"/>
          <w:sz w:val="24"/>
          <w:lang w:val="zh-CN"/>
        </w:rPr>
        <w:t>委托人</w:t>
      </w:r>
      <w:r>
        <w:rPr>
          <w:rFonts w:ascii="宋体" w:hAnsi="宋体" w:eastAsia="宋体" w:cs="Times New Roman"/>
          <w:sz w:val="24"/>
          <w:lang w:val="zh-CN"/>
        </w:rPr>
        <w:t>书面确认的时间）后，</w:t>
      </w:r>
      <w:r>
        <w:rPr>
          <w:rFonts w:hint="eastAsia" w:ascii="宋体" w:hAnsi="宋体" w:eastAsia="宋体" w:cs="Times New Roman"/>
          <w:sz w:val="24"/>
          <w:lang w:val="zh-CN"/>
        </w:rPr>
        <w:t>委托人</w:t>
      </w:r>
      <w:r>
        <w:rPr>
          <w:rFonts w:ascii="宋体" w:hAnsi="宋体" w:eastAsia="宋体" w:cs="Times New Roman"/>
          <w:sz w:val="24"/>
          <w:lang w:val="zh-CN"/>
        </w:rPr>
        <w:t>有权按其认为适当的条件和方法或采取其认为最合适的措施来完成被终止了的项目，</w:t>
      </w:r>
      <w:r>
        <w:rPr>
          <w:rFonts w:hint="eastAsia" w:ascii="宋体" w:hAnsi="宋体" w:eastAsia="宋体" w:cs="Times New Roman"/>
          <w:sz w:val="24"/>
          <w:lang w:val="zh-CN"/>
        </w:rPr>
        <w:t>受托人</w:t>
      </w:r>
      <w:r>
        <w:rPr>
          <w:rFonts w:ascii="宋体" w:hAnsi="宋体" w:eastAsia="宋体" w:cs="Times New Roman"/>
          <w:sz w:val="24"/>
          <w:lang w:val="zh-CN"/>
        </w:rPr>
        <w:t>应对所超出的那部分费用或为了执行完成被终止了的该部分而</w:t>
      </w:r>
      <w:r>
        <w:rPr>
          <w:rFonts w:hint="eastAsia" w:ascii="宋体" w:hAnsi="宋体" w:eastAsia="宋体" w:cs="Times New Roman"/>
          <w:sz w:val="24"/>
          <w:lang w:val="zh-CN"/>
        </w:rPr>
        <w:t>委托人</w:t>
      </w:r>
      <w:r>
        <w:rPr>
          <w:rFonts w:ascii="宋体" w:hAnsi="宋体" w:eastAsia="宋体" w:cs="Times New Roman"/>
          <w:sz w:val="24"/>
          <w:lang w:val="zh-CN"/>
        </w:rPr>
        <w:t>实际发生的直接费用负责。但是，</w:t>
      </w:r>
      <w:r>
        <w:rPr>
          <w:rFonts w:hint="eastAsia" w:ascii="宋体" w:hAnsi="宋体" w:eastAsia="宋体" w:cs="Times New Roman"/>
          <w:sz w:val="24"/>
          <w:lang w:val="zh-CN"/>
        </w:rPr>
        <w:t>受托人</w:t>
      </w:r>
      <w:r>
        <w:rPr>
          <w:rFonts w:ascii="宋体" w:hAnsi="宋体" w:eastAsia="宋体" w:cs="Times New Roman"/>
          <w:sz w:val="24"/>
          <w:lang w:val="zh-CN"/>
        </w:rPr>
        <w:t>应继续执行合同中未终止的部分。</w:t>
      </w:r>
    </w:p>
    <w:p w14:paraId="64F6F491">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17.4 因</w:t>
      </w:r>
      <w:r>
        <w:rPr>
          <w:rFonts w:hint="eastAsia" w:ascii="宋体" w:hAnsi="宋体" w:eastAsia="宋体" w:cs="Times New Roman"/>
          <w:sz w:val="24"/>
          <w:lang w:val="zh-CN"/>
        </w:rPr>
        <w:t>委托人</w:t>
      </w:r>
      <w:r>
        <w:rPr>
          <w:rFonts w:ascii="宋体" w:hAnsi="宋体" w:eastAsia="宋体" w:cs="Times New Roman"/>
          <w:sz w:val="24"/>
          <w:lang w:val="zh-CN"/>
        </w:rPr>
        <w:t>违约终止合同</w:t>
      </w:r>
    </w:p>
    <w:p w14:paraId="71113C69">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17.4.1 如果</w:t>
      </w:r>
      <w:r>
        <w:rPr>
          <w:rFonts w:hint="eastAsia" w:ascii="宋体" w:hAnsi="宋体" w:eastAsia="宋体" w:cs="Times New Roman"/>
          <w:sz w:val="24"/>
          <w:lang w:val="zh-CN"/>
        </w:rPr>
        <w:t>委托人</w:t>
      </w:r>
      <w:r>
        <w:rPr>
          <w:rFonts w:ascii="宋体" w:hAnsi="宋体" w:eastAsia="宋体" w:cs="Times New Roman"/>
          <w:sz w:val="24"/>
          <w:lang w:val="zh-CN"/>
        </w:rPr>
        <w:t>严重违背了合同规定的责任义务，而且这种违约没有任何条款允许时，则</w:t>
      </w:r>
      <w:r>
        <w:rPr>
          <w:rFonts w:hint="eastAsia" w:ascii="宋体" w:hAnsi="宋体" w:eastAsia="宋体" w:cs="Times New Roman"/>
          <w:sz w:val="24"/>
          <w:lang w:val="zh-CN"/>
        </w:rPr>
        <w:t>受托人</w:t>
      </w:r>
      <w:r>
        <w:rPr>
          <w:rFonts w:ascii="宋体" w:hAnsi="宋体" w:eastAsia="宋体" w:cs="Times New Roman"/>
          <w:sz w:val="24"/>
          <w:lang w:val="zh-CN"/>
        </w:rPr>
        <w:t>有权终止合同的一部分或全部，但前提条件是</w:t>
      </w:r>
      <w:r>
        <w:rPr>
          <w:rFonts w:hint="eastAsia" w:ascii="宋体" w:hAnsi="宋体" w:eastAsia="宋体" w:cs="Times New Roman"/>
          <w:sz w:val="24"/>
          <w:lang w:val="zh-CN"/>
        </w:rPr>
        <w:t>受托人</w:t>
      </w:r>
      <w:r>
        <w:rPr>
          <w:rFonts w:ascii="宋体" w:hAnsi="宋体" w:eastAsia="宋体" w:cs="Times New Roman"/>
          <w:sz w:val="24"/>
          <w:lang w:val="zh-CN"/>
        </w:rPr>
        <w:t>应在终止合同前二个月书面通知</w:t>
      </w:r>
      <w:r>
        <w:rPr>
          <w:rFonts w:hint="eastAsia" w:ascii="宋体" w:hAnsi="宋体" w:eastAsia="宋体" w:cs="Times New Roman"/>
          <w:sz w:val="24"/>
          <w:lang w:val="zh-CN"/>
        </w:rPr>
        <w:t>委托人</w:t>
      </w:r>
      <w:r>
        <w:rPr>
          <w:rFonts w:ascii="宋体" w:hAnsi="宋体" w:eastAsia="宋体" w:cs="Times New Roman"/>
          <w:sz w:val="24"/>
          <w:lang w:val="zh-CN"/>
        </w:rPr>
        <w:t>，而</w:t>
      </w:r>
      <w:r>
        <w:rPr>
          <w:rFonts w:hint="eastAsia" w:ascii="宋体" w:hAnsi="宋体" w:eastAsia="宋体" w:cs="Times New Roman"/>
          <w:sz w:val="24"/>
          <w:lang w:val="zh-CN"/>
        </w:rPr>
        <w:t>委托人</w:t>
      </w:r>
      <w:r>
        <w:rPr>
          <w:rFonts w:ascii="宋体" w:hAnsi="宋体" w:eastAsia="宋体" w:cs="Times New Roman"/>
          <w:sz w:val="24"/>
          <w:lang w:val="zh-CN"/>
        </w:rPr>
        <w:t>未能在这个期限内采取合理的措施以弥补其违约。</w:t>
      </w:r>
    </w:p>
    <w:p w14:paraId="3D476AE7">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17.4.2 在本条款第17.4.1条的情况下，</w:t>
      </w:r>
      <w:r>
        <w:rPr>
          <w:rFonts w:hint="eastAsia" w:ascii="宋体" w:hAnsi="宋体" w:eastAsia="宋体" w:cs="Times New Roman"/>
          <w:sz w:val="24"/>
          <w:lang w:val="zh-CN"/>
        </w:rPr>
        <w:t>受托人</w:t>
      </w:r>
      <w:r>
        <w:rPr>
          <w:rFonts w:ascii="宋体" w:hAnsi="宋体" w:eastAsia="宋体" w:cs="Times New Roman"/>
          <w:sz w:val="24"/>
          <w:lang w:val="zh-CN"/>
        </w:rPr>
        <w:t>有权要求</w:t>
      </w:r>
      <w:r>
        <w:rPr>
          <w:rFonts w:hint="eastAsia" w:ascii="宋体" w:hAnsi="宋体" w:eastAsia="宋体" w:cs="Times New Roman"/>
          <w:sz w:val="24"/>
          <w:lang w:val="zh-CN"/>
        </w:rPr>
        <w:t>委托人</w:t>
      </w:r>
      <w:r>
        <w:rPr>
          <w:rFonts w:ascii="宋体" w:hAnsi="宋体" w:eastAsia="宋体" w:cs="Times New Roman"/>
          <w:sz w:val="24"/>
          <w:lang w:val="zh-CN"/>
        </w:rPr>
        <w:t>补偿其因违约而造成的任何直接损失。但是，</w:t>
      </w:r>
      <w:r>
        <w:rPr>
          <w:rFonts w:hint="eastAsia" w:ascii="宋体" w:hAnsi="宋体" w:eastAsia="宋体" w:cs="Times New Roman"/>
          <w:sz w:val="24"/>
          <w:lang w:val="zh-CN"/>
        </w:rPr>
        <w:t>受托人</w:t>
      </w:r>
      <w:r>
        <w:rPr>
          <w:rFonts w:ascii="宋体" w:hAnsi="宋体" w:eastAsia="宋体" w:cs="Times New Roman"/>
          <w:sz w:val="24"/>
          <w:lang w:val="zh-CN"/>
        </w:rPr>
        <w:t>应继续执行合同中未终止的部分。</w:t>
      </w:r>
    </w:p>
    <w:p w14:paraId="77DCE2FA">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18、项目暂停</w:t>
      </w:r>
    </w:p>
    <w:p w14:paraId="6FFC8076">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rPr>
        <w:t xml:space="preserve">18.1 </w:t>
      </w:r>
      <w:r>
        <w:rPr>
          <w:rFonts w:hint="eastAsia" w:ascii="宋体" w:hAnsi="宋体" w:eastAsia="宋体" w:cs="Times New Roman"/>
          <w:sz w:val="24"/>
          <w:lang w:val="zh-CN"/>
        </w:rPr>
        <w:t>委托人</w:t>
      </w:r>
      <w:r>
        <w:rPr>
          <w:rFonts w:ascii="宋体" w:hAnsi="宋体" w:eastAsia="宋体" w:cs="Times New Roman"/>
          <w:sz w:val="24"/>
          <w:lang w:val="zh-CN"/>
        </w:rPr>
        <w:t>可以在任何时间由于任何原因暂停项目，并以书面通知</w:t>
      </w:r>
      <w:r>
        <w:rPr>
          <w:rFonts w:hint="eastAsia" w:ascii="宋体" w:hAnsi="宋体" w:eastAsia="宋体" w:cs="Times New Roman"/>
          <w:sz w:val="24"/>
          <w:lang w:val="zh-CN"/>
        </w:rPr>
        <w:t>受托人</w:t>
      </w:r>
      <w:r>
        <w:rPr>
          <w:rFonts w:ascii="宋体" w:hAnsi="宋体" w:eastAsia="宋体" w:cs="Times New Roman"/>
          <w:sz w:val="24"/>
          <w:lang w:val="zh-CN"/>
        </w:rPr>
        <w:t>暂停部分和暂停起始日以及重新恢复的大约日期，</w:t>
      </w:r>
      <w:r>
        <w:rPr>
          <w:rFonts w:hint="eastAsia" w:ascii="宋体" w:hAnsi="宋体" w:eastAsia="宋体" w:cs="Times New Roman"/>
          <w:sz w:val="24"/>
          <w:lang w:val="zh-CN"/>
        </w:rPr>
        <w:t>受托人</w:t>
      </w:r>
      <w:r>
        <w:rPr>
          <w:rFonts w:ascii="宋体" w:hAnsi="宋体" w:eastAsia="宋体" w:cs="Times New Roman"/>
          <w:sz w:val="24"/>
          <w:lang w:val="zh-CN"/>
        </w:rPr>
        <w:t>必须在暂停起始日尽快暂停上述项目，但未暂停部分必须继续执行。若要恢复，</w:t>
      </w:r>
      <w:r>
        <w:rPr>
          <w:rFonts w:hint="eastAsia" w:ascii="宋体" w:hAnsi="宋体" w:eastAsia="宋体" w:cs="Times New Roman"/>
          <w:sz w:val="24"/>
          <w:lang w:val="zh-CN"/>
        </w:rPr>
        <w:t>委托人</w:t>
      </w:r>
      <w:r>
        <w:rPr>
          <w:rFonts w:ascii="宋体" w:hAnsi="宋体" w:eastAsia="宋体" w:cs="Times New Roman"/>
          <w:sz w:val="24"/>
          <w:lang w:val="zh-CN"/>
        </w:rPr>
        <w:t>必须以书面方式通知</w:t>
      </w:r>
      <w:r>
        <w:rPr>
          <w:rFonts w:hint="eastAsia" w:ascii="宋体" w:hAnsi="宋体" w:eastAsia="宋体" w:cs="Times New Roman"/>
          <w:sz w:val="24"/>
          <w:lang w:val="zh-CN"/>
        </w:rPr>
        <w:t>受托人</w:t>
      </w:r>
      <w:r>
        <w:rPr>
          <w:rFonts w:ascii="宋体" w:hAnsi="宋体" w:eastAsia="宋体" w:cs="Times New Roman"/>
          <w:sz w:val="24"/>
          <w:lang w:val="zh-CN"/>
        </w:rPr>
        <w:t>，说明恢复部分以及恢复的生效日，以便恢复前述暂停部分。</w:t>
      </w:r>
    </w:p>
    <w:p w14:paraId="44D92195">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18.2 在</w:t>
      </w:r>
      <w:r>
        <w:rPr>
          <w:rFonts w:hint="eastAsia" w:ascii="宋体" w:hAnsi="宋体" w:eastAsia="宋体" w:cs="Times New Roman"/>
          <w:sz w:val="24"/>
          <w:lang w:val="zh-CN"/>
        </w:rPr>
        <w:t>委托人</w:t>
      </w:r>
      <w:r>
        <w:rPr>
          <w:rFonts w:ascii="宋体" w:hAnsi="宋体" w:eastAsia="宋体" w:cs="Times New Roman"/>
          <w:sz w:val="24"/>
          <w:lang w:val="zh-CN"/>
        </w:rPr>
        <w:t>提出项目暂停持续较长时间的情况下，</w:t>
      </w:r>
      <w:r>
        <w:rPr>
          <w:rFonts w:hint="eastAsia" w:ascii="宋体" w:hAnsi="宋体" w:eastAsia="宋体" w:cs="Times New Roman"/>
          <w:sz w:val="24"/>
          <w:lang w:val="zh-CN"/>
        </w:rPr>
        <w:t>委托人</w:t>
      </w:r>
      <w:r>
        <w:rPr>
          <w:rFonts w:ascii="宋体" w:hAnsi="宋体" w:eastAsia="宋体" w:cs="Times New Roman"/>
          <w:sz w:val="24"/>
          <w:lang w:val="zh-CN"/>
        </w:rPr>
        <w:t>按通用条款和专用条款的有关规定执行。如果项目暂停是因为</w:t>
      </w:r>
      <w:r>
        <w:rPr>
          <w:rFonts w:hint="eastAsia" w:ascii="宋体" w:hAnsi="宋体" w:eastAsia="宋体" w:cs="Times New Roman"/>
          <w:sz w:val="24"/>
          <w:lang w:val="zh-CN"/>
        </w:rPr>
        <w:t>受托人</w:t>
      </w:r>
      <w:r>
        <w:rPr>
          <w:rFonts w:ascii="宋体" w:hAnsi="宋体" w:eastAsia="宋体" w:cs="Times New Roman"/>
          <w:sz w:val="24"/>
          <w:lang w:val="zh-CN"/>
        </w:rPr>
        <w:t>违约造成的则本条款不适用。</w:t>
      </w:r>
    </w:p>
    <w:p w14:paraId="58EA2E90">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19、合同双方的权利与义务</w:t>
      </w:r>
    </w:p>
    <w:p w14:paraId="2B09378F">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19.1 </w:t>
      </w:r>
      <w:r>
        <w:rPr>
          <w:rFonts w:hint="eastAsia" w:ascii="宋体" w:hAnsi="宋体" w:eastAsia="宋体" w:cs="Times New Roman"/>
          <w:sz w:val="24"/>
          <w:lang w:val="zh-CN"/>
        </w:rPr>
        <w:t>委托人</w:t>
      </w:r>
      <w:r>
        <w:rPr>
          <w:rFonts w:ascii="宋体" w:hAnsi="宋体" w:eastAsia="宋体" w:cs="Times New Roman"/>
          <w:sz w:val="24"/>
          <w:lang w:val="zh-CN"/>
        </w:rPr>
        <w:t>的权利与义务</w:t>
      </w:r>
    </w:p>
    <w:p w14:paraId="1BA53C59">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19.1.1 依据合同条款和附件的具体规定对</w:t>
      </w:r>
      <w:r>
        <w:rPr>
          <w:rFonts w:hint="eastAsia" w:ascii="宋体" w:hAnsi="宋体" w:eastAsia="宋体" w:cs="Times New Roman"/>
          <w:sz w:val="24"/>
          <w:lang w:val="zh-CN"/>
        </w:rPr>
        <w:t>受托人</w:t>
      </w:r>
      <w:r>
        <w:rPr>
          <w:rFonts w:ascii="宋体" w:hAnsi="宋体" w:eastAsia="宋体" w:cs="Times New Roman"/>
          <w:sz w:val="24"/>
          <w:lang w:val="zh-CN"/>
        </w:rPr>
        <w:t>开展相关的管理工作，有权对</w:t>
      </w:r>
      <w:r>
        <w:rPr>
          <w:rFonts w:hint="eastAsia" w:ascii="宋体" w:hAnsi="宋体" w:eastAsia="宋体" w:cs="Times New Roman"/>
          <w:sz w:val="24"/>
          <w:lang w:val="zh-CN"/>
        </w:rPr>
        <w:t>受托人</w:t>
      </w:r>
      <w:r>
        <w:rPr>
          <w:rFonts w:ascii="宋体" w:hAnsi="宋体" w:eastAsia="宋体" w:cs="Times New Roman"/>
          <w:sz w:val="24"/>
          <w:lang w:val="zh-CN"/>
        </w:rPr>
        <w:t>的</w:t>
      </w:r>
      <w:r>
        <w:rPr>
          <w:rFonts w:hint="eastAsia" w:ascii="宋体" w:hAnsi="宋体" w:eastAsia="宋体" w:cs="Times New Roman"/>
          <w:sz w:val="24"/>
          <w:lang w:val="zh-CN"/>
        </w:rPr>
        <w:t>设计咨询服务</w:t>
      </w:r>
      <w:r>
        <w:rPr>
          <w:rFonts w:ascii="宋体" w:hAnsi="宋体" w:eastAsia="宋体" w:cs="Times New Roman"/>
          <w:sz w:val="24"/>
          <w:lang w:val="zh-CN"/>
        </w:rPr>
        <w:t>组织、进程和成果等进行</w:t>
      </w:r>
      <w:r>
        <w:rPr>
          <w:rFonts w:hint="eastAsia" w:ascii="宋体" w:hAnsi="宋体" w:eastAsia="宋体" w:cs="Times New Roman"/>
          <w:sz w:val="24"/>
          <w:lang w:val="zh-CN"/>
        </w:rPr>
        <w:t>委托人</w:t>
      </w:r>
      <w:r>
        <w:rPr>
          <w:rFonts w:ascii="宋体" w:hAnsi="宋体" w:eastAsia="宋体" w:cs="Times New Roman"/>
          <w:sz w:val="24"/>
          <w:lang w:val="zh-CN"/>
        </w:rPr>
        <w:t>认为必要的检查和监督；</w:t>
      </w:r>
    </w:p>
    <w:p w14:paraId="2D08DC2E">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19.1.2 在专用条款第9条规定的</w:t>
      </w:r>
      <w:r>
        <w:rPr>
          <w:rFonts w:hint="eastAsia" w:ascii="宋体" w:hAnsi="宋体" w:eastAsia="宋体" w:cs="Times New Roman"/>
          <w:sz w:val="24"/>
          <w:lang w:val="zh-CN"/>
        </w:rPr>
        <w:t>设计咨询服务</w:t>
      </w:r>
      <w:r>
        <w:rPr>
          <w:rFonts w:ascii="宋体" w:hAnsi="宋体" w:eastAsia="宋体" w:cs="Times New Roman"/>
          <w:sz w:val="24"/>
          <w:lang w:val="zh-CN"/>
        </w:rPr>
        <w:t>范围内，有权要求</w:t>
      </w:r>
      <w:r>
        <w:rPr>
          <w:rFonts w:hint="eastAsia" w:ascii="宋体" w:hAnsi="宋体" w:eastAsia="宋体" w:cs="Times New Roman"/>
          <w:sz w:val="24"/>
          <w:lang w:val="zh-CN"/>
        </w:rPr>
        <w:t>受托人</w:t>
      </w:r>
      <w:r>
        <w:rPr>
          <w:rFonts w:ascii="宋体" w:hAnsi="宋体" w:eastAsia="宋体" w:cs="Times New Roman"/>
          <w:sz w:val="24"/>
          <w:lang w:val="zh-CN"/>
        </w:rPr>
        <w:t>进一步提供依据、计算模型、数据等，以判断成果的可靠性。</w:t>
      </w:r>
    </w:p>
    <w:p w14:paraId="47F38CE1">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19.1.3 </w:t>
      </w:r>
      <w:r>
        <w:rPr>
          <w:rFonts w:hint="eastAsia" w:ascii="宋体" w:hAnsi="宋体" w:eastAsia="宋体" w:cs="Times New Roman"/>
          <w:sz w:val="24"/>
          <w:lang w:val="zh-CN"/>
        </w:rPr>
        <w:t>委托人</w:t>
      </w:r>
      <w:r>
        <w:rPr>
          <w:rFonts w:ascii="宋体" w:hAnsi="宋体" w:eastAsia="宋体" w:cs="Times New Roman"/>
          <w:sz w:val="24"/>
          <w:lang w:val="zh-CN"/>
        </w:rPr>
        <w:t>的工作</w:t>
      </w:r>
    </w:p>
    <w:p w14:paraId="6570681B">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hint="eastAsia" w:ascii="宋体" w:hAnsi="宋体" w:eastAsia="宋体" w:cs="Times New Roman"/>
          <w:sz w:val="24"/>
          <w:lang w:val="zh-CN"/>
        </w:rPr>
        <w:t>（</w:t>
      </w:r>
      <w:r>
        <w:rPr>
          <w:rFonts w:ascii="宋体" w:hAnsi="宋体" w:eastAsia="宋体" w:cs="Times New Roman"/>
          <w:sz w:val="24"/>
          <w:lang w:val="zh-CN"/>
        </w:rPr>
        <w:t>1）及时向</w:t>
      </w:r>
      <w:r>
        <w:rPr>
          <w:rFonts w:hint="eastAsia" w:ascii="宋体" w:hAnsi="宋体" w:eastAsia="宋体" w:cs="Times New Roman"/>
          <w:sz w:val="24"/>
          <w:lang w:val="zh-CN"/>
        </w:rPr>
        <w:t>受托人</w:t>
      </w:r>
      <w:r>
        <w:rPr>
          <w:rFonts w:ascii="宋体" w:hAnsi="宋体" w:eastAsia="宋体" w:cs="Times New Roman"/>
          <w:sz w:val="24"/>
          <w:lang w:val="zh-CN"/>
        </w:rPr>
        <w:t>提供所需文件资料、图纸精细化等；</w:t>
      </w:r>
    </w:p>
    <w:p w14:paraId="2456C1E1">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hint="eastAsia" w:ascii="宋体" w:hAnsi="宋体" w:eastAsia="宋体" w:cs="Times New Roman"/>
          <w:sz w:val="24"/>
          <w:lang w:val="zh-CN"/>
        </w:rPr>
        <w:t>（</w:t>
      </w:r>
      <w:r>
        <w:rPr>
          <w:rFonts w:ascii="宋体" w:hAnsi="宋体" w:eastAsia="宋体" w:cs="Times New Roman"/>
          <w:sz w:val="24"/>
          <w:lang w:val="zh-CN"/>
        </w:rPr>
        <w:t>2）按通用条款第10款规定的时间和方式，及时向</w:t>
      </w:r>
      <w:r>
        <w:rPr>
          <w:rFonts w:hint="eastAsia" w:ascii="宋体" w:hAnsi="宋体" w:eastAsia="宋体" w:cs="Times New Roman"/>
          <w:sz w:val="24"/>
          <w:lang w:val="zh-CN"/>
        </w:rPr>
        <w:t>受托人</w:t>
      </w:r>
      <w:r>
        <w:rPr>
          <w:rFonts w:ascii="宋体" w:hAnsi="宋体" w:eastAsia="宋体" w:cs="Times New Roman"/>
          <w:sz w:val="24"/>
          <w:lang w:val="zh-CN"/>
        </w:rPr>
        <w:t>支付各阶段合同费用。</w:t>
      </w:r>
    </w:p>
    <w:p w14:paraId="2F58A80F">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hint="eastAsia" w:ascii="宋体" w:hAnsi="宋体" w:eastAsia="宋体" w:cs="Times New Roman"/>
          <w:sz w:val="24"/>
          <w:lang w:val="zh-CN"/>
        </w:rPr>
        <w:t>（</w:t>
      </w:r>
      <w:r>
        <w:rPr>
          <w:rFonts w:ascii="宋体" w:hAnsi="宋体" w:eastAsia="宋体" w:cs="Times New Roman"/>
          <w:sz w:val="24"/>
          <w:lang w:val="zh-CN"/>
        </w:rPr>
        <w:t>3）组织审查</w:t>
      </w:r>
      <w:r>
        <w:rPr>
          <w:rFonts w:hint="eastAsia" w:ascii="宋体" w:hAnsi="宋体" w:eastAsia="宋体" w:cs="Times New Roman"/>
          <w:sz w:val="24"/>
          <w:lang w:val="zh-CN"/>
        </w:rPr>
        <w:t>受托人</w:t>
      </w:r>
      <w:r>
        <w:rPr>
          <w:rFonts w:ascii="宋体" w:hAnsi="宋体" w:eastAsia="宋体" w:cs="Times New Roman"/>
          <w:sz w:val="24"/>
          <w:lang w:val="zh-CN"/>
        </w:rPr>
        <w:t>提供的报告，并及时将审查（审批）意见以书面方式通知</w:t>
      </w:r>
      <w:r>
        <w:rPr>
          <w:rFonts w:hint="eastAsia" w:ascii="宋体" w:hAnsi="宋体" w:eastAsia="宋体" w:cs="Times New Roman"/>
          <w:sz w:val="24"/>
          <w:lang w:val="zh-CN"/>
        </w:rPr>
        <w:t>受托人</w:t>
      </w:r>
      <w:r>
        <w:rPr>
          <w:rFonts w:ascii="宋体" w:hAnsi="宋体" w:eastAsia="宋体" w:cs="Times New Roman"/>
          <w:sz w:val="24"/>
          <w:lang w:val="zh-CN"/>
        </w:rPr>
        <w:t>。</w:t>
      </w:r>
    </w:p>
    <w:p w14:paraId="773420B0">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hint="eastAsia" w:ascii="宋体" w:hAnsi="宋体" w:eastAsia="宋体" w:cs="Times New Roman"/>
          <w:sz w:val="24"/>
          <w:lang w:val="zh-CN"/>
        </w:rPr>
        <w:t>（</w:t>
      </w:r>
      <w:r>
        <w:rPr>
          <w:rFonts w:ascii="宋体" w:hAnsi="宋体" w:eastAsia="宋体" w:cs="Times New Roman"/>
          <w:sz w:val="24"/>
          <w:lang w:val="zh-CN"/>
        </w:rPr>
        <w:t>4）维护</w:t>
      </w:r>
      <w:r>
        <w:rPr>
          <w:rFonts w:hint="eastAsia" w:ascii="宋体" w:hAnsi="宋体" w:eastAsia="宋体" w:cs="Times New Roman"/>
          <w:sz w:val="24"/>
          <w:lang w:val="zh-CN"/>
        </w:rPr>
        <w:t>受托人</w:t>
      </w:r>
      <w:r>
        <w:rPr>
          <w:rFonts w:ascii="宋体" w:hAnsi="宋体" w:eastAsia="宋体" w:cs="Times New Roman"/>
          <w:sz w:val="24"/>
          <w:lang w:val="zh-CN"/>
        </w:rPr>
        <w:t>的权威，使本项目</w:t>
      </w:r>
      <w:r>
        <w:rPr>
          <w:rFonts w:hint="eastAsia" w:ascii="宋体" w:hAnsi="宋体" w:eastAsia="宋体" w:cs="Times New Roman"/>
          <w:sz w:val="24"/>
          <w:lang w:val="zh-CN"/>
        </w:rPr>
        <w:t>设计咨询服务</w:t>
      </w:r>
      <w:r>
        <w:rPr>
          <w:rFonts w:ascii="宋体" w:hAnsi="宋体" w:eastAsia="宋体" w:cs="Times New Roman"/>
          <w:sz w:val="24"/>
          <w:lang w:val="zh-CN"/>
        </w:rPr>
        <w:t>工作自始至终处于有效控制之中。</w:t>
      </w:r>
    </w:p>
    <w:p w14:paraId="25D6E697">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19.1.4 维护</w:t>
      </w:r>
      <w:r>
        <w:rPr>
          <w:rFonts w:hint="eastAsia" w:ascii="宋体" w:hAnsi="宋体" w:eastAsia="宋体" w:cs="Times New Roman"/>
          <w:sz w:val="24"/>
          <w:lang w:val="zh-CN"/>
        </w:rPr>
        <w:t>受托人</w:t>
      </w:r>
      <w:r>
        <w:rPr>
          <w:rFonts w:ascii="宋体" w:hAnsi="宋体" w:eastAsia="宋体" w:cs="Times New Roman"/>
          <w:sz w:val="24"/>
          <w:lang w:val="zh-CN"/>
        </w:rPr>
        <w:t>的成果，未经</w:t>
      </w:r>
      <w:r>
        <w:rPr>
          <w:rFonts w:hint="eastAsia" w:ascii="宋体" w:hAnsi="宋体" w:eastAsia="宋体" w:cs="Times New Roman"/>
          <w:sz w:val="24"/>
          <w:lang w:val="zh-CN"/>
        </w:rPr>
        <w:t>受托人</w:t>
      </w:r>
      <w:r>
        <w:rPr>
          <w:rFonts w:ascii="宋体" w:hAnsi="宋体" w:eastAsia="宋体" w:cs="Times New Roman"/>
          <w:sz w:val="24"/>
          <w:lang w:val="zh-CN"/>
        </w:rPr>
        <w:t>同意不能擅自修改</w:t>
      </w:r>
      <w:r>
        <w:rPr>
          <w:rFonts w:hint="eastAsia" w:ascii="宋体" w:hAnsi="宋体" w:eastAsia="宋体" w:cs="Times New Roman"/>
          <w:sz w:val="24"/>
          <w:lang w:val="zh-CN"/>
        </w:rPr>
        <w:t>设计咨询服务</w:t>
      </w:r>
      <w:r>
        <w:rPr>
          <w:rFonts w:ascii="宋体" w:hAnsi="宋体" w:eastAsia="宋体" w:cs="Times New Roman"/>
          <w:sz w:val="24"/>
          <w:lang w:val="zh-CN"/>
        </w:rPr>
        <w:t>文件。</w:t>
      </w:r>
    </w:p>
    <w:p w14:paraId="40590300">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19.2 </w:t>
      </w:r>
      <w:r>
        <w:rPr>
          <w:rFonts w:hint="eastAsia" w:ascii="宋体" w:hAnsi="宋体" w:eastAsia="宋体" w:cs="Times New Roman"/>
          <w:sz w:val="24"/>
          <w:lang w:val="zh-CN"/>
        </w:rPr>
        <w:t>受托人</w:t>
      </w:r>
      <w:r>
        <w:rPr>
          <w:rFonts w:ascii="宋体" w:hAnsi="宋体" w:eastAsia="宋体" w:cs="Times New Roman"/>
          <w:sz w:val="24"/>
          <w:lang w:val="zh-CN"/>
        </w:rPr>
        <w:t>的权利与义务</w:t>
      </w:r>
    </w:p>
    <w:p w14:paraId="31D4F02A">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19.2.1 按照约定的内容和时间，自行或组织完成合同条款及其附件约定的工作,并遵守本工程</w:t>
      </w:r>
      <w:r>
        <w:rPr>
          <w:rFonts w:hint="eastAsia" w:ascii="宋体" w:hAnsi="宋体" w:eastAsia="宋体" w:cs="Times New Roman"/>
          <w:sz w:val="24"/>
          <w:lang w:val="zh-CN"/>
        </w:rPr>
        <w:t>设计咨询服务</w:t>
      </w:r>
      <w:r>
        <w:rPr>
          <w:rFonts w:ascii="宋体" w:hAnsi="宋体" w:eastAsia="宋体" w:cs="Times New Roman"/>
          <w:sz w:val="24"/>
          <w:lang w:val="zh-CN"/>
        </w:rPr>
        <w:t>管理有关规定。</w:t>
      </w:r>
    </w:p>
    <w:p w14:paraId="510E5AF1">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19.2.2 提供完成本合同规定的工作的必要的组织保证。明确机构和班子，配备足够的各专业人员，并保证在</w:t>
      </w:r>
      <w:r>
        <w:rPr>
          <w:rFonts w:hint="eastAsia" w:ascii="宋体" w:hAnsi="宋体" w:eastAsia="宋体" w:cs="Times New Roman"/>
          <w:sz w:val="24"/>
          <w:lang w:val="zh-CN"/>
        </w:rPr>
        <w:t>设计咨询服务</w:t>
      </w:r>
      <w:r>
        <w:rPr>
          <w:rFonts w:ascii="宋体" w:hAnsi="宋体" w:eastAsia="宋体" w:cs="Times New Roman"/>
          <w:sz w:val="24"/>
          <w:lang w:val="zh-CN"/>
        </w:rPr>
        <w:t>全过程中人员的相对稳定。</w:t>
      </w:r>
    </w:p>
    <w:p w14:paraId="2EC3A7AB">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19.2.3 根据工程设计依据文件、国家有关的设计标准、技术规范、规程、定额，以及与</w:t>
      </w:r>
      <w:r>
        <w:rPr>
          <w:rFonts w:hint="eastAsia" w:ascii="宋体" w:hAnsi="宋体" w:eastAsia="宋体" w:cs="Times New Roman"/>
          <w:sz w:val="24"/>
          <w:lang w:val="zh-CN"/>
        </w:rPr>
        <w:t>委托人</w:t>
      </w:r>
      <w:r>
        <w:rPr>
          <w:rFonts w:ascii="宋体" w:hAnsi="宋体" w:eastAsia="宋体" w:cs="Times New Roman"/>
          <w:sz w:val="24"/>
          <w:lang w:val="zh-CN"/>
        </w:rPr>
        <w:t>共同确定的有关</w:t>
      </w:r>
      <w:r>
        <w:rPr>
          <w:rFonts w:hint="eastAsia" w:ascii="宋体" w:hAnsi="宋体" w:eastAsia="宋体" w:cs="Times New Roman"/>
          <w:sz w:val="24"/>
          <w:lang w:val="zh-CN"/>
        </w:rPr>
        <w:t>设计咨询服务</w:t>
      </w:r>
      <w:r>
        <w:rPr>
          <w:rFonts w:ascii="宋体" w:hAnsi="宋体" w:eastAsia="宋体" w:cs="Times New Roman"/>
          <w:sz w:val="24"/>
          <w:lang w:val="zh-CN"/>
        </w:rPr>
        <w:t>方案、准则等进行</w:t>
      </w:r>
      <w:r>
        <w:rPr>
          <w:rFonts w:hint="eastAsia" w:ascii="宋体" w:hAnsi="宋体" w:eastAsia="宋体" w:cs="Times New Roman"/>
          <w:sz w:val="24"/>
          <w:lang w:val="zh-CN"/>
        </w:rPr>
        <w:t>设计咨询服务</w:t>
      </w:r>
      <w:r>
        <w:rPr>
          <w:rFonts w:ascii="宋体" w:hAnsi="宋体" w:eastAsia="宋体" w:cs="Times New Roman"/>
          <w:sz w:val="24"/>
          <w:lang w:val="zh-CN"/>
        </w:rPr>
        <w:t>。</w:t>
      </w:r>
    </w:p>
    <w:p w14:paraId="230415FA">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19.2.4 制订对工程</w:t>
      </w:r>
      <w:r>
        <w:rPr>
          <w:rFonts w:hint="eastAsia" w:ascii="宋体" w:hAnsi="宋体" w:eastAsia="宋体" w:cs="Times New Roman"/>
          <w:sz w:val="24"/>
          <w:lang w:val="zh-CN"/>
        </w:rPr>
        <w:t>设计咨询服务</w:t>
      </w:r>
      <w:r>
        <w:rPr>
          <w:rFonts w:ascii="宋体" w:hAnsi="宋体" w:eastAsia="宋体" w:cs="Times New Roman"/>
          <w:sz w:val="24"/>
          <w:lang w:val="zh-CN"/>
        </w:rPr>
        <w:t>质量控制和进度控制的程序和措施，并组织实施与管理。</w:t>
      </w:r>
    </w:p>
    <w:p w14:paraId="6ECBDCE7">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19.2.5 按照工程进度计划和分项设计计划安排，向</w:t>
      </w:r>
      <w:r>
        <w:rPr>
          <w:rFonts w:hint="eastAsia" w:ascii="宋体" w:hAnsi="宋体" w:eastAsia="宋体" w:cs="Times New Roman"/>
          <w:sz w:val="24"/>
          <w:lang w:val="zh-CN"/>
        </w:rPr>
        <w:t>委托人</w:t>
      </w:r>
      <w:r>
        <w:rPr>
          <w:rFonts w:ascii="宋体" w:hAnsi="宋体" w:eastAsia="宋体" w:cs="Times New Roman"/>
          <w:sz w:val="24"/>
          <w:lang w:val="zh-CN"/>
        </w:rPr>
        <w:t>提交本合同规定的各类成果。</w:t>
      </w:r>
    </w:p>
    <w:p w14:paraId="1DE675E4">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19.2.6 按合同规定的进度要求，在交付成果文件时提前通知</w:t>
      </w:r>
      <w:r>
        <w:rPr>
          <w:rFonts w:hint="eastAsia" w:ascii="宋体" w:hAnsi="宋体" w:eastAsia="宋体" w:cs="Times New Roman"/>
          <w:sz w:val="24"/>
          <w:lang w:val="zh-CN"/>
        </w:rPr>
        <w:t>委托人</w:t>
      </w:r>
      <w:r>
        <w:rPr>
          <w:rFonts w:ascii="宋体" w:hAnsi="宋体" w:eastAsia="宋体" w:cs="Times New Roman"/>
          <w:sz w:val="24"/>
          <w:lang w:val="zh-CN"/>
        </w:rPr>
        <w:t>，以便</w:t>
      </w:r>
      <w:r>
        <w:rPr>
          <w:rFonts w:hint="eastAsia" w:ascii="宋体" w:hAnsi="宋体" w:eastAsia="宋体" w:cs="Times New Roman"/>
          <w:sz w:val="24"/>
          <w:lang w:val="zh-CN"/>
        </w:rPr>
        <w:t>委托人</w:t>
      </w:r>
      <w:r>
        <w:rPr>
          <w:rFonts w:ascii="宋体" w:hAnsi="宋体" w:eastAsia="宋体" w:cs="Times New Roman"/>
          <w:sz w:val="24"/>
          <w:lang w:val="zh-CN"/>
        </w:rPr>
        <w:t>组织审查工作。</w:t>
      </w:r>
    </w:p>
    <w:p w14:paraId="2D457BEE">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19.2.7 收到</w:t>
      </w:r>
      <w:r>
        <w:rPr>
          <w:rFonts w:hint="eastAsia" w:ascii="宋体" w:hAnsi="宋体" w:eastAsia="宋体" w:cs="Times New Roman"/>
          <w:sz w:val="24"/>
          <w:lang w:val="zh-CN"/>
        </w:rPr>
        <w:t>委托人</w:t>
      </w:r>
      <w:r>
        <w:rPr>
          <w:rFonts w:ascii="宋体" w:hAnsi="宋体" w:eastAsia="宋体" w:cs="Times New Roman"/>
          <w:sz w:val="24"/>
          <w:lang w:val="zh-CN"/>
        </w:rPr>
        <w:t>提供的由设计单位提供的审查资料后，如有异议或疑问，应及时提出书面意见。</w:t>
      </w:r>
    </w:p>
    <w:p w14:paraId="5DB0139B">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19.2.8 对</w:t>
      </w:r>
      <w:r>
        <w:rPr>
          <w:rFonts w:hint="eastAsia" w:ascii="宋体" w:hAnsi="宋体" w:eastAsia="宋体" w:cs="Times New Roman"/>
          <w:sz w:val="24"/>
          <w:lang w:val="zh-CN"/>
        </w:rPr>
        <w:t>设计咨询服务</w:t>
      </w:r>
      <w:r>
        <w:rPr>
          <w:rFonts w:ascii="宋体" w:hAnsi="宋体" w:eastAsia="宋体" w:cs="Times New Roman"/>
          <w:sz w:val="24"/>
          <w:lang w:val="zh-CN"/>
        </w:rPr>
        <w:t>文件有解释、答辩的义务和责任，除遇重大原则问题应与</w:t>
      </w:r>
      <w:r>
        <w:rPr>
          <w:rFonts w:hint="eastAsia" w:ascii="宋体" w:hAnsi="宋体" w:eastAsia="宋体" w:cs="Times New Roman"/>
          <w:sz w:val="24"/>
          <w:lang w:val="zh-CN"/>
        </w:rPr>
        <w:t>委托人</w:t>
      </w:r>
      <w:r>
        <w:rPr>
          <w:rFonts w:ascii="宋体" w:hAnsi="宋体" w:eastAsia="宋体" w:cs="Times New Roman"/>
          <w:sz w:val="24"/>
          <w:lang w:val="zh-CN"/>
        </w:rPr>
        <w:t>协商决策外，</w:t>
      </w:r>
      <w:r>
        <w:rPr>
          <w:rFonts w:hint="eastAsia" w:ascii="宋体" w:hAnsi="宋体" w:eastAsia="宋体" w:cs="Times New Roman"/>
          <w:sz w:val="24"/>
          <w:lang w:val="zh-CN"/>
        </w:rPr>
        <w:t>受托人</w:t>
      </w:r>
      <w:r>
        <w:rPr>
          <w:rFonts w:ascii="宋体" w:hAnsi="宋体" w:eastAsia="宋体" w:cs="Times New Roman"/>
          <w:sz w:val="24"/>
          <w:lang w:val="zh-CN"/>
        </w:rPr>
        <w:t>对</w:t>
      </w:r>
      <w:r>
        <w:rPr>
          <w:rFonts w:hint="eastAsia" w:ascii="宋体" w:hAnsi="宋体" w:eastAsia="宋体" w:cs="Times New Roman"/>
          <w:sz w:val="24"/>
          <w:lang w:val="zh-CN"/>
        </w:rPr>
        <w:t>设计咨询服务</w:t>
      </w:r>
      <w:r>
        <w:rPr>
          <w:rFonts w:ascii="宋体" w:hAnsi="宋体" w:eastAsia="宋体" w:cs="Times New Roman"/>
          <w:sz w:val="24"/>
          <w:lang w:val="zh-CN"/>
        </w:rPr>
        <w:t>负全责。对</w:t>
      </w:r>
      <w:r>
        <w:rPr>
          <w:rFonts w:hint="eastAsia" w:ascii="宋体" w:hAnsi="宋体" w:eastAsia="宋体" w:cs="Times New Roman"/>
          <w:sz w:val="24"/>
          <w:lang w:val="zh-CN"/>
        </w:rPr>
        <w:t>设计咨询服务</w:t>
      </w:r>
      <w:r>
        <w:rPr>
          <w:rFonts w:ascii="宋体" w:hAnsi="宋体" w:eastAsia="宋体" w:cs="Times New Roman"/>
          <w:sz w:val="24"/>
          <w:lang w:val="zh-CN"/>
        </w:rPr>
        <w:t>文件出现的遗漏或错误有义务修改和补充。</w:t>
      </w:r>
    </w:p>
    <w:p w14:paraId="46ECF959">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19.2.9 </w:t>
      </w:r>
      <w:r>
        <w:rPr>
          <w:rFonts w:hint="eastAsia" w:ascii="宋体" w:hAnsi="宋体" w:eastAsia="宋体" w:cs="Times New Roman"/>
          <w:sz w:val="24"/>
          <w:lang w:val="zh-CN"/>
        </w:rPr>
        <w:t>设计咨询服务</w:t>
      </w:r>
      <w:r>
        <w:rPr>
          <w:rFonts w:ascii="宋体" w:hAnsi="宋体" w:eastAsia="宋体" w:cs="Times New Roman"/>
          <w:sz w:val="24"/>
          <w:lang w:val="zh-CN"/>
        </w:rPr>
        <w:t>工作全过程中，应运用价值工程理论，组织对系统工程设计进行全面评估分析，力求安全、可靠、经济、适用和技术先进，并提交</w:t>
      </w:r>
      <w:r>
        <w:rPr>
          <w:rFonts w:hint="eastAsia" w:ascii="宋体" w:hAnsi="宋体" w:eastAsia="宋体" w:cs="Times New Roman"/>
          <w:sz w:val="24"/>
          <w:lang w:val="zh-CN"/>
        </w:rPr>
        <w:t>过程文件及</w:t>
      </w:r>
      <w:r>
        <w:rPr>
          <w:rFonts w:ascii="宋体" w:hAnsi="宋体" w:eastAsia="宋体" w:cs="Times New Roman"/>
          <w:sz w:val="24"/>
          <w:lang w:val="zh-CN"/>
        </w:rPr>
        <w:t>成果报告。</w:t>
      </w:r>
    </w:p>
    <w:p w14:paraId="0C26B595">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19.2.10 参加设计文件及方案优化设计审查等</w:t>
      </w:r>
      <w:r>
        <w:rPr>
          <w:rFonts w:hint="eastAsia" w:ascii="宋体" w:hAnsi="宋体" w:eastAsia="宋体" w:cs="Times New Roman"/>
          <w:sz w:val="24"/>
          <w:lang w:val="zh-CN"/>
        </w:rPr>
        <w:t>委托人</w:t>
      </w:r>
      <w:r>
        <w:rPr>
          <w:rFonts w:ascii="宋体" w:hAnsi="宋体" w:eastAsia="宋体" w:cs="Times New Roman"/>
          <w:sz w:val="24"/>
          <w:lang w:val="zh-CN"/>
        </w:rPr>
        <w:t>安排的会议，做好技术及资料准备工作</w:t>
      </w:r>
      <w:r>
        <w:rPr>
          <w:rFonts w:hint="eastAsia" w:ascii="宋体" w:hAnsi="宋体" w:eastAsia="宋体" w:cs="Times New Roman"/>
          <w:sz w:val="24"/>
          <w:lang w:val="zh-CN"/>
        </w:rPr>
        <w:t>，并提出相关的技术意见</w:t>
      </w:r>
      <w:r>
        <w:rPr>
          <w:rFonts w:ascii="宋体" w:hAnsi="宋体" w:eastAsia="宋体" w:cs="Times New Roman"/>
          <w:sz w:val="24"/>
          <w:lang w:val="zh-CN"/>
        </w:rPr>
        <w:t>。</w:t>
      </w:r>
    </w:p>
    <w:p w14:paraId="4410DE55">
      <w:pPr>
        <w:autoSpaceDE w:val="0"/>
        <w:autoSpaceDN w:val="0"/>
        <w:adjustRightInd w:val="0"/>
        <w:snapToGrid w:val="0"/>
        <w:spacing w:line="360" w:lineRule="auto"/>
        <w:ind w:firstLine="480" w:firstLineChars="200"/>
        <w:rPr>
          <w:rFonts w:hint="eastAsia" w:ascii="宋体" w:hAnsi="宋体" w:eastAsia="宋体" w:cs="Times New Roman"/>
          <w:sz w:val="24"/>
        </w:rPr>
      </w:pPr>
      <w:r>
        <w:rPr>
          <w:rFonts w:ascii="宋体" w:hAnsi="宋体" w:eastAsia="宋体" w:cs="Times New Roman"/>
          <w:sz w:val="24"/>
          <w:lang w:val="zh-CN"/>
        </w:rPr>
        <w:t>19.2.11 通知</w:t>
      </w:r>
      <w:r>
        <w:rPr>
          <w:rFonts w:hint="eastAsia" w:ascii="宋体" w:hAnsi="宋体" w:eastAsia="宋体" w:cs="Times New Roman"/>
          <w:sz w:val="24"/>
          <w:lang w:val="zh-CN"/>
        </w:rPr>
        <w:t>委托人</w:t>
      </w:r>
      <w:r>
        <w:rPr>
          <w:rFonts w:ascii="宋体" w:hAnsi="宋体" w:eastAsia="宋体" w:cs="Times New Roman"/>
          <w:sz w:val="24"/>
          <w:lang w:val="zh-CN"/>
        </w:rPr>
        <w:t>代表参加</w:t>
      </w:r>
      <w:r>
        <w:rPr>
          <w:rFonts w:hint="eastAsia" w:ascii="宋体" w:hAnsi="宋体" w:eastAsia="宋体" w:cs="Times New Roman"/>
          <w:sz w:val="24"/>
          <w:lang w:val="zh-CN"/>
        </w:rPr>
        <w:t>设计咨询服务</w:t>
      </w:r>
      <w:r>
        <w:rPr>
          <w:rFonts w:ascii="宋体" w:hAnsi="宋体" w:eastAsia="宋体" w:cs="Times New Roman"/>
          <w:sz w:val="24"/>
          <w:lang w:val="zh-CN"/>
        </w:rPr>
        <w:t>管理工作有关会议。</w:t>
      </w:r>
    </w:p>
    <w:p w14:paraId="562E4E7A">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19.2.12 有关</w:t>
      </w:r>
      <w:r>
        <w:rPr>
          <w:rFonts w:hint="eastAsia" w:ascii="宋体" w:hAnsi="宋体" w:eastAsia="宋体" w:cs="Times New Roman"/>
          <w:sz w:val="24"/>
          <w:lang w:val="zh-CN"/>
        </w:rPr>
        <w:t>设计咨询服务</w:t>
      </w:r>
      <w:r>
        <w:rPr>
          <w:rFonts w:ascii="宋体" w:hAnsi="宋体" w:eastAsia="宋体" w:cs="Times New Roman"/>
          <w:sz w:val="24"/>
          <w:lang w:val="zh-CN"/>
        </w:rPr>
        <w:t>进度、质量的书面文件，须送</w:t>
      </w:r>
      <w:r>
        <w:rPr>
          <w:rFonts w:hint="eastAsia" w:ascii="宋体" w:hAnsi="宋体" w:eastAsia="宋体" w:cs="Times New Roman"/>
          <w:sz w:val="24"/>
          <w:lang w:val="zh-CN"/>
        </w:rPr>
        <w:t>委托人</w:t>
      </w:r>
      <w:r>
        <w:rPr>
          <w:rFonts w:ascii="宋体" w:hAnsi="宋体" w:eastAsia="宋体" w:cs="Times New Roman"/>
          <w:sz w:val="24"/>
          <w:lang w:val="zh-CN"/>
        </w:rPr>
        <w:t>确认后实施。</w:t>
      </w:r>
    </w:p>
    <w:p w14:paraId="498571DD">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19.2.13 按深圳市档案管理规定提交归档文件。</w:t>
      </w:r>
    </w:p>
    <w:p w14:paraId="1F6E196F">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19.2.14 </w:t>
      </w:r>
      <w:r>
        <w:rPr>
          <w:rFonts w:hint="eastAsia" w:ascii="宋体" w:hAnsi="宋体" w:eastAsia="宋体" w:cs="Times New Roman"/>
          <w:sz w:val="24"/>
          <w:lang w:val="zh-CN"/>
        </w:rPr>
        <w:t>受托人</w:t>
      </w:r>
      <w:r>
        <w:rPr>
          <w:rFonts w:ascii="宋体" w:hAnsi="宋体" w:eastAsia="宋体" w:cs="Times New Roman"/>
          <w:sz w:val="24"/>
          <w:lang w:val="zh-CN"/>
        </w:rPr>
        <w:t>应履行的其它与本合同有关的责任。</w:t>
      </w:r>
    </w:p>
    <w:p w14:paraId="5DD26B3F">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19.2.15 按本合同第9条规定的付给</w:t>
      </w:r>
      <w:r>
        <w:rPr>
          <w:rFonts w:hint="eastAsia" w:ascii="宋体" w:hAnsi="宋体" w:eastAsia="宋体" w:cs="Times New Roman"/>
          <w:sz w:val="24"/>
          <w:lang w:val="zh-CN"/>
        </w:rPr>
        <w:t>受托人</w:t>
      </w:r>
      <w:r>
        <w:rPr>
          <w:rFonts w:ascii="宋体" w:hAnsi="宋体" w:eastAsia="宋体" w:cs="Times New Roman"/>
          <w:sz w:val="24"/>
          <w:lang w:val="zh-CN"/>
        </w:rPr>
        <w:t>的报酬应为</w:t>
      </w:r>
      <w:r>
        <w:rPr>
          <w:rFonts w:hint="eastAsia" w:ascii="宋体" w:hAnsi="宋体" w:eastAsia="宋体" w:cs="Times New Roman"/>
          <w:sz w:val="24"/>
          <w:lang w:val="zh-CN"/>
        </w:rPr>
        <w:t>受托人</w:t>
      </w:r>
      <w:r>
        <w:rPr>
          <w:rFonts w:ascii="宋体" w:hAnsi="宋体" w:eastAsia="宋体" w:cs="Times New Roman"/>
          <w:sz w:val="24"/>
          <w:lang w:val="zh-CN"/>
        </w:rPr>
        <w:t>与本合同有关的唯一报酬。在与本合同有关的活动中，或在履行合同义务时，不应为私利而接受其它任何个人、单位的佣金、回扣或类似费用。</w:t>
      </w:r>
    </w:p>
    <w:p w14:paraId="6C694B5E">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19.2.16 </w:t>
      </w:r>
      <w:r>
        <w:rPr>
          <w:rFonts w:hint="eastAsia" w:ascii="宋体" w:hAnsi="宋体" w:eastAsia="宋体" w:cs="Times New Roman"/>
          <w:sz w:val="24"/>
          <w:lang w:val="zh-CN"/>
        </w:rPr>
        <w:t>受托人</w:t>
      </w:r>
      <w:r>
        <w:rPr>
          <w:rFonts w:ascii="宋体" w:hAnsi="宋体" w:eastAsia="宋体" w:cs="Times New Roman"/>
          <w:sz w:val="24"/>
          <w:lang w:val="zh-CN"/>
        </w:rPr>
        <w:t>未履行19.2款的各项义务，导致的工期延误或给</w:t>
      </w:r>
      <w:r>
        <w:rPr>
          <w:rFonts w:hint="eastAsia" w:ascii="宋体" w:hAnsi="宋体" w:eastAsia="宋体" w:cs="Times New Roman"/>
          <w:sz w:val="24"/>
          <w:lang w:val="zh-CN"/>
        </w:rPr>
        <w:t>委托人</w:t>
      </w:r>
      <w:r>
        <w:rPr>
          <w:rFonts w:ascii="宋体" w:hAnsi="宋体" w:eastAsia="宋体" w:cs="Times New Roman"/>
          <w:sz w:val="24"/>
          <w:lang w:val="zh-CN"/>
        </w:rPr>
        <w:t>造成损失的，</w:t>
      </w:r>
      <w:r>
        <w:rPr>
          <w:rFonts w:hint="eastAsia" w:ascii="宋体" w:hAnsi="宋体" w:eastAsia="宋体" w:cs="Times New Roman"/>
          <w:sz w:val="24"/>
          <w:lang w:val="zh-CN"/>
        </w:rPr>
        <w:t>受托人</w:t>
      </w:r>
      <w:r>
        <w:rPr>
          <w:rFonts w:ascii="宋体" w:hAnsi="宋体" w:eastAsia="宋体" w:cs="Times New Roman"/>
          <w:sz w:val="24"/>
          <w:lang w:val="zh-CN"/>
        </w:rPr>
        <w:t>承担有关的违约责任，赔偿有关损失，支付违约金。</w:t>
      </w:r>
    </w:p>
    <w:p w14:paraId="1E7D3C2D">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20、违约责任</w:t>
      </w:r>
    </w:p>
    <w:p w14:paraId="457A5AE5">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20.1 </w:t>
      </w:r>
      <w:r>
        <w:rPr>
          <w:rFonts w:hint="eastAsia" w:ascii="宋体" w:hAnsi="宋体" w:eastAsia="宋体" w:cs="Times New Roman"/>
          <w:sz w:val="24"/>
          <w:lang w:val="zh-CN"/>
        </w:rPr>
        <w:t>委托人</w:t>
      </w:r>
      <w:r>
        <w:rPr>
          <w:rFonts w:ascii="宋体" w:hAnsi="宋体" w:eastAsia="宋体" w:cs="Times New Roman"/>
          <w:sz w:val="24"/>
          <w:lang w:val="zh-CN"/>
        </w:rPr>
        <w:t>未按合同约定提供合同约定的服务，影响</w:t>
      </w:r>
      <w:r>
        <w:rPr>
          <w:rFonts w:hint="eastAsia" w:ascii="宋体" w:hAnsi="宋体" w:eastAsia="宋体" w:cs="Times New Roman"/>
          <w:sz w:val="24"/>
          <w:lang w:val="zh-CN"/>
        </w:rPr>
        <w:t>设计咨询服务</w:t>
      </w:r>
      <w:r>
        <w:rPr>
          <w:rFonts w:ascii="宋体" w:hAnsi="宋体" w:eastAsia="宋体" w:cs="Times New Roman"/>
          <w:sz w:val="24"/>
          <w:lang w:val="zh-CN"/>
        </w:rPr>
        <w:t>工作的，</w:t>
      </w:r>
      <w:r>
        <w:rPr>
          <w:rFonts w:hint="eastAsia" w:ascii="宋体" w:hAnsi="宋体" w:eastAsia="宋体" w:cs="Times New Roman"/>
          <w:sz w:val="24"/>
          <w:lang w:val="zh-CN"/>
        </w:rPr>
        <w:t>受托人</w:t>
      </w:r>
      <w:r>
        <w:rPr>
          <w:rFonts w:ascii="宋体" w:hAnsi="宋体" w:eastAsia="宋体" w:cs="Times New Roman"/>
          <w:sz w:val="24"/>
          <w:lang w:val="zh-CN"/>
        </w:rPr>
        <w:t>有权要求</w:t>
      </w:r>
      <w:r>
        <w:rPr>
          <w:rFonts w:hint="eastAsia" w:ascii="宋体" w:hAnsi="宋体" w:eastAsia="宋体" w:cs="Times New Roman"/>
          <w:sz w:val="24"/>
          <w:lang w:val="zh-CN"/>
        </w:rPr>
        <w:t>委托人</w:t>
      </w:r>
      <w:r>
        <w:rPr>
          <w:rFonts w:ascii="宋体" w:hAnsi="宋体" w:eastAsia="宋体" w:cs="Times New Roman"/>
          <w:sz w:val="24"/>
          <w:lang w:val="zh-CN"/>
        </w:rPr>
        <w:t>履行职责、顺延服务期；严重影响</w:t>
      </w:r>
      <w:r>
        <w:rPr>
          <w:rFonts w:hint="eastAsia" w:ascii="宋体" w:hAnsi="宋体" w:eastAsia="宋体" w:cs="Times New Roman"/>
          <w:sz w:val="24"/>
          <w:lang w:val="zh-CN"/>
        </w:rPr>
        <w:t>受托人</w:t>
      </w:r>
      <w:r>
        <w:rPr>
          <w:rFonts w:ascii="宋体" w:hAnsi="宋体" w:eastAsia="宋体" w:cs="Times New Roman"/>
          <w:sz w:val="24"/>
          <w:lang w:val="zh-CN"/>
        </w:rPr>
        <w:t>工作开展的，可暂停服务，但必须提前30天知会</w:t>
      </w:r>
      <w:r>
        <w:rPr>
          <w:rFonts w:hint="eastAsia" w:ascii="宋体" w:hAnsi="宋体" w:eastAsia="宋体" w:cs="Times New Roman"/>
          <w:sz w:val="24"/>
          <w:lang w:val="zh-CN"/>
        </w:rPr>
        <w:t>委托人</w:t>
      </w:r>
      <w:r>
        <w:rPr>
          <w:rFonts w:ascii="宋体" w:hAnsi="宋体" w:eastAsia="宋体" w:cs="Times New Roman"/>
          <w:sz w:val="24"/>
          <w:lang w:val="zh-CN"/>
        </w:rPr>
        <w:t>，便于</w:t>
      </w:r>
      <w:r>
        <w:rPr>
          <w:rFonts w:hint="eastAsia" w:ascii="宋体" w:hAnsi="宋体" w:eastAsia="宋体" w:cs="Times New Roman"/>
          <w:sz w:val="24"/>
          <w:lang w:val="zh-CN"/>
        </w:rPr>
        <w:t>委托人</w:t>
      </w:r>
      <w:r>
        <w:rPr>
          <w:rFonts w:ascii="宋体" w:hAnsi="宋体" w:eastAsia="宋体" w:cs="Times New Roman"/>
          <w:sz w:val="24"/>
          <w:lang w:val="zh-CN"/>
        </w:rPr>
        <w:t>采取措施，消除影响。</w:t>
      </w:r>
    </w:p>
    <w:p w14:paraId="01FDE726">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20.2 </w:t>
      </w:r>
      <w:r>
        <w:rPr>
          <w:rFonts w:hint="eastAsia" w:ascii="宋体" w:hAnsi="宋体" w:eastAsia="宋体" w:cs="Times New Roman"/>
          <w:sz w:val="24"/>
          <w:lang w:val="zh-CN"/>
        </w:rPr>
        <w:t>委托人</w:t>
      </w:r>
      <w:r>
        <w:rPr>
          <w:rFonts w:ascii="宋体" w:hAnsi="宋体" w:eastAsia="宋体" w:cs="Times New Roman"/>
          <w:sz w:val="24"/>
          <w:lang w:val="zh-CN"/>
        </w:rPr>
        <w:t>未按合同约定履行合同约定的职责的，不能按相应条款要求对</w:t>
      </w:r>
      <w:r>
        <w:rPr>
          <w:rFonts w:hint="eastAsia" w:ascii="宋体" w:hAnsi="宋体" w:eastAsia="宋体" w:cs="Times New Roman"/>
          <w:sz w:val="24"/>
          <w:lang w:val="zh-CN"/>
        </w:rPr>
        <w:t>受托人</w:t>
      </w:r>
      <w:r>
        <w:rPr>
          <w:rFonts w:ascii="宋体" w:hAnsi="宋体" w:eastAsia="宋体" w:cs="Times New Roman"/>
          <w:sz w:val="24"/>
          <w:lang w:val="zh-CN"/>
        </w:rPr>
        <w:t>进行处罚。</w:t>
      </w:r>
    </w:p>
    <w:p w14:paraId="04995C20">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20.3 </w:t>
      </w:r>
      <w:r>
        <w:rPr>
          <w:rFonts w:hint="eastAsia" w:ascii="宋体" w:hAnsi="宋体" w:eastAsia="宋体" w:cs="Times New Roman"/>
          <w:sz w:val="24"/>
          <w:lang w:val="zh-CN"/>
        </w:rPr>
        <w:t>委托人</w:t>
      </w:r>
      <w:r>
        <w:rPr>
          <w:rFonts w:ascii="宋体" w:hAnsi="宋体" w:eastAsia="宋体" w:cs="Times New Roman"/>
          <w:sz w:val="24"/>
          <w:lang w:val="zh-CN"/>
        </w:rPr>
        <w:t>受客观原因的制约，未能履行合同职责的，有责任采取措施，消除影响，或与</w:t>
      </w:r>
      <w:r>
        <w:rPr>
          <w:rFonts w:hint="eastAsia" w:ascii="宋体" w:hAnsi="宋体" w:eastAsia="宋体" w:cs="Times New Roman"/>
          <w:sz w:val="24"/>
          <w:lang w:val="zh-CN"/>
        </w:rPr>
        <w:t>受托人</w:t>
      </w:r>
      <w:r>
        <w:rPr>
          <w:rFonts w:ascii="宋体" w:hAnsi="宋体" w:eastAsia="宋体" w:cs="Times New Roman"/>
          <w:sz w:val="24"/>
          <w:lang w:val="zh-CN"/>
        </w:rPr>
        <w:t>协商变通办法解决。</w:t>
      </w:r>
    </w:p>
    <w:p w14:paraId="0A6FD767">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20.4 </w:t>
      </w:r>
      <w:r>
        <w:rPr>
          <w:rFonts w:hint="eastAsia" w:ascii="宋体" w:hAnsi="宋体" w:eastAsia="宋体" w:cs="Times New Roman"/>
          <w:sz w:val="24"/>
          <w:lang w:val="zh-CN"/>
        </w:rPr>
        <w:t>受托人</w:t>
      </w:r>
      <w:r>
        <w:rPr>
          <w:rFonts w:ascii="宋体" w:hAnsi="宋体" w:eastAsia="宋体" w:cs="Times New Roman"/>
          <w:sz w:val="24"/>
          <w:lang w:val="zh-CN"/>
        </w:rPr>
        <w:t>未按合同约定提供组织保证方面服务，影响履行职责的，</w:t>
      </w:r>
      <w:r>
        <w:rPr>
          <w:rFonts w:hint="eastAsia" w:ascii="宋体" w:hAnsi="宋体" w:eastAsia="宋体" w:cs="Times New Roman"/>
          <w:sz w:val="24"/>
          <w:lang w:val="zh-CN"/>
        </w:rPr>
        <w:t>委托人</w:t>
      </w:r>
      <w:r>
        <w:rPr>
          <w:rFonts w:ascii="宋体" w:hAnsi="宋体" w:eastAsia="宋体" w:cs="Times New Roman"/>
          <w:sz w:val="24"/>
          <w:lang w:val="zh-CN"/>
        </w:rPr>
        <w:t>有权要求</w:t>
      </w:r>
      <w:r>
        <w:rPr>
          <w:rFonts w:hint="eastAsia" w:ascii="宋体" w:hAnsi="宋体" w:eastAsia="宋体" w:cs="Times New Roman"/>
          <w:sz w:val="24"/>
          <w:lang w:val="zh-CN"/>
        </w:rPr>
        <w:t>受托人</w:t>
      </w:r>
      <w:r>
        <w:rPr>
          <w:rFonts w:ascii="宋体" w:hAnsi="宋体" w:eastAsia="宋体" w:cs="Times New Roman"/>
          <w:sz w:val="24"/>
          <w:lang w:val="zh-CN"/>
        </w:rPr>
        <w:t>履行职责，或给予批评、警告、扣除</w:t>
      </w:r>
      <w:r>
        <w:rPr>
          <w:rFonts w:hint="eastAsia" w:ascii="宋体" w:hAnsi="宋体" w:eastAsia="宋体" w:cs="Times New Roman"/>
          <w:sz w:val="24"/>
          <w:lang w:val="zh-CN"/>
        </w:rPr>
        <w:t>受托人</w:t>
      </w:r>
      <w:r>
        <w:rPr>
          <w:rFonts w:ascii="宋体" w:hAnsi="宋体" w:eastAsia="宋体" w:cs="Times New Roman"/>
          <w:sz w:val="24"/>
          <w:lang w:val="zh-CN"/>
        </w:rPr>
        <w:t>合同费、撤换人员的处罚，直至解除与责任单位的合同关系。</w:t>
      </w:r>
    </w:p>
    <w:p w14:paraId="7FA72F1F">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20.5 </w:t>
      </w:r>
      <w:r>
        <w:rPr>
          <w:rFonts w:hint="eastAsia" w:ascii="宋体" w:hAnsi="宋体" w:eastAsia="宋体" w:cs="Times New Roman"/>
          <w:sz w:val="24"/>
          <w:lang w:val="zh-CN"/>
        </w:rPr>
        <w:t>受托人</w:t>
      </w:r>
      <w:r>
        <w:rPr>
          <w:rFonts w:ascii="宋体" w:hAnsi="宋体" w:eastAsia="宋体" w:cs="Times New Roman"/>
          <w:sz w:val="24"/>
          <w:lang w:val="zh-CN"/>
        </w:rPr>
        <w:t>提交</w:t>
      </w:r>
      <w:r>
        <w:rPr>
          <w:rFonts w:hint="eastAsia" w:ascii="宋体" w:hAnsi="宋体" w:eastAsia="宋体" w:cs="Times New Roman"/>
          <w:sz w:val="24"/>
          <w:lang w:val="zh-CN"/>
        </w:rPr>
        <w:t>设计咨询服务</w:t>
      </w:r>
      <w:r>
        <w:rPr>
          <w:rFonts w:ascii="宋体" w:hAnsi="宋体" w:eastAsia="宋体" w:cs="Times New Roman"/>
          <w:sz w:val="24"/>
          <w:lang w:val="zh-CN"/>
        </w:rPr>
        <w:t>文件质量达不到合同要求的，必须自行修改、完善，</w:t>
      </w:r>
      <w:r>
        <w:rPr>
          <w:rFonts w:hint="eastAsia" w:ascii="宋体" w:hAnsi="宋体" w:eastAsia="宋体" w:cs="Times New Roman"/>
          <w:sz w:val="24"/>
          <w:lang w:val="zh-CN"/>
        </w:rPr>
        <w:t>委托人</w:t>
      </w:r>
      <w:r>
        <w:rPr>
          <w:rFonts w:ascii="宋体" w:hAnsi="宋体" w:eastAsia="宋体" w:cs="Times New Roman"/>
          <w:sz w:val="24"/>
          <w:lang w:val="zh-CN"/>
        </w:rPr>
        <w:t>有权视质量情况给予书面警告、通报批评、扣除合同费的处罚，直至解除合同关系。</w:t>
      </w:r>
    </w:p>
    <w:p w14:paraId="4BC7A95B">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 xml:space="preserve">20.6 </w:t>
      </w:r>
      <w:r>
        <w:rPr>
          <w:rFonts w:hint="eastAsia" w:ascii="宋体" w:hAnsi="宋体" w:eastAsia="宋体" w:cs="Times New Roman"/>
          <w:sz w:val="24"/>
          <w:lang w:val="zh-CN"/>
        </w:rPr>
        <w:t>受托人</w:t>
      </w:r>
      <w:r>
        <w:rPr>
          <w:rFonts w:ascii="宋体" w:hAnsi="宋体" w:eastAsia="宋体" w:cs="Times New Roman"/>
          <w:sz w:val="24"/>
          <w:lang w:val="zh-CN"/>
        </w:rPr>
        <w:t>未按合同约定提交</w:t>
      </w:r>
      <w:r>
        <w:rPr>
          <w:rFonts w:hint="eastAsia" w:ascii="宋体" w:hAnsi="宋体" w:eastAsia="宋体" w:cs="Times New Roman"/>
          <w:sz w:val="24"/>
          <w:lang w:val="zh-CN"/>
        </w:rPr>
        <w:t>设计咨询服务</w:t>
      </w:r>
      <w:r>
        <w:rPr>
          <w:rFonts w:ascii="宋体" w:hAnsi="宋体" w:eastAsia="宋体" w:cs="Times New Roman"/>
          <w:sz w:val="24"/>
          <w:lang w:val="zh-CN"/>
        </w:rPr>
        <w:t>文件的，应支付违约金。</w:t>
      </w:r>
    </w:p>
    <w:p w14:paraId="45B8ECFD">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21、争议的解决</w:t>
      </w:r>
    </w:p>
    <w:p w14:paraId="62687316">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21.1 合同发生争议时，由</w:t>
      </w:r>
      <w:r>
        <w:rPr>
          <w:rFonts w:hint="eastAsia" w:ascii="宋体" w:hAnsi="宋体" w:eastAsia="宋体" w:cs="Times New Roman"/>
          <w:sz w:val="24"/>
          <w:lang w:val="zh-CN"/>
        </w:rPr>
        <w:t>委托人</w:t>
      </w:r>
      <w:r>
        <w:rPr>
          <w:rFonts w:ascii="宋体" w:hAnsi="宋体" w:eastAsia="宋体" w:cs="Times New Roman"/>
          <w:sz w:val="24"/>
          <w:lang w:val="zh-CN"/>
        </w:rPr>
        <w:t>与</w:t>
      </w:r>
      <w:r>
        <w:rPr>
          <w:rFonts w:hint="eastAsia" w:ascii="宋体" w:hAnsi="宋体" w:eastAsia="宋体" w:cs="Times New Roman"/>
          <w:sz w:val="24"/>
          <w:lang w:val="zh-CN"/>
        </w:rPr>
        <w:t>受托人</w:t>
      </w:r>
      <w:r>
        <w:rPr>
          <w:rFonts w:ascii="宋体" w:hAnsi="宋体" w:eastAsia="宋体" w:cs="Times New Roman"/>
          <w:sz w:val="24"/>
          <w:lang w:val="zh-CN"/>
        </w:rPr>
        <w:t>协商解决，调解不成的可按下列方式处理：</w:t>
      </w:r>
    </w:p>
    <w:p w14:paraId="5C13F047">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21.1.1 向深圳仲裁机构申请仲裁；</w:t>
      </w:r>
    </w:p>
    <w:p w14:paraId="03F5B31B">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21.1.2 根据《中华人民共和国</w:t>
      </w:r>
      <w:r>
        <w:rPr>
          <w:rFonts w:hint="eastAsia" w:ascii="宋体" w:hAnsi="宋体" w:eastAsia="宋体" w:cs="Times New Roman"/>
          <w:sz w:val="24"/>
        </w:rPr>
        <w:t>民法典</w:t>
      </w:r>
      <w:r>
        <w:rPr>
          <w:rFonts w:ascii="宋体" w:hAnsi="宋体" w:eastAsia="宋体" w:cs="Times New Roman"/>
          <w:sz w:val="24"/>
          <w:lang w:val="zh-CN"/>
        </w:rPr>
        <w:t>》向深圳市的人民法院提请诉讼。</w:t>
      </w:r>
    </w:p>
    <w:p w14:paraId="03E4C816">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21.2 经调解达成协议的，当事人应当自动执行。</w:t>
      </w:r>
    </w:p>
    <w:p w14:paraId="7ADCAD16">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21.3 协商、调解和仲裁及诉讼期间，合同应继续执行，合同各方不得以争议为由拒绝执行。</w:t>
      </w:r>
    </w:p>
    <w:p w14:paraId="7EE90E90">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21.4 任何到期的，已确认完成服务应支付的款项均不得由于提交争议而扣压。</w:t>
      </w:r>
    </w:p>
    <w:p w14:paraId="4DE0A7F7">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21.5 因合同双方不可抗拒的原因，致使合同无法继续执行时，不视为违约，由合同双方协商终止合同，已完成的工作量应支付费用。</w:t>
      </w:r>
    </w:p>
    <w:p w14:paraId="3E98A019">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22、税</w:t>
      </w:r>
    </w:p>
    <w:p w14:paraId="0042B21B">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rPr>
        <w:t xml:space="preserve">21.1 </w:t>
      </w:r>
      <w:r>
        <w:rPr>
          <w:rFonts w:ascii="宋体" w:hAnsi="宋体" w:eastAsia="宋体" w:cs="Times New Roman"/>
          <w:sz w:val="24"/>
          <w:lang w:val="zh-CN"/>
        </w:rPr>
        <w:t>中国政府根据现行税法规定对</w:t>
      </w:r>
      <w:r>
        <w:rPr>
          <w:rFonts w:hint="eastAsia" w:ascii="宋体" w:hAnsi="宋体" w:eastAsia="宋体" w:cs="Times New Roman"/>
          <w:sz w:val="24"/>
          <w:lang w:val="zh-CN"/>
        </w:rPr>
        <w:t>委托人</w:t>
      </w:r>
      <w:r>
        <w:rPr>
          <w:rFonts w:ascii="宋体" w:hAnsi="宋体" w:eastAsia="宋体" w:cs="Times New Roman"/>
          <w:sz w:val="24"/>
          <w:lang w:val="zh-CN"/>
        </w:rPr>
        <w:t>征收的与本合同有关的一切税费均应由</w:t>
      </w:r>
      <w:r>
        <w:rPr>
          <w:rFonts w:hint="eastAsia" w:ascii="宋体" w:hAnsi="宋体" w:eastAsia="宋体" w:cs="Times New Roman"/>
          <w:sz w:val="24"/>
          <w:lang w:val="zh-CN"/>
        </w:rPr>
        <w:t>委托人</w:t>
      </w:r>
      <w:r>
        <w:rPr>
          <w:rFonts w:ascii="宋体" w:hAnsi="宋体" w:eastAsia="宋体" w:cs="Times New Roman"/>
          <w:sz w:val="24"/>
          <w:lang w:val="zh-CN"/>
        </w:rPr>
        <w:t>负担。</w:t>
      </w:r>
    </w:p>
    <w:p w14:paraId="19B7732D">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21.2 中国政府根据现行税法规定对</w:t>
      </w:r>
      <w:r>
        <w:rPr>
          <w:rFonts w:hint="eastAsia" w:ascii="宋体" w:hAnsi="宋体" w:eastAsia="宋体" w:cs="Times New Roman"/>
          <w:sz w:val="24"/>
          <w:lang w:val="zh-CN"/>
        </w:rPr>
        <w:t>受托人</w:t>
      </w:r>
      <w:r>
        <w:rPr>
          <w:rFonts w:ascii="宋体" w:hAnsi="宋体" w:eastAsia="宋体" w:cs="Times New Roman"/>
          <w:sz w:val="24"/>
          <w:lang w:val="zh-CN"/>
        </w:rPr>
        <w:t>征收的与本合同有关的一切税费均应由</w:t>
      </w:r>
      <w:r>
        <w:rPr>
          <w:rFonts w:hint="eastAsia" w:ascii="宋体" w:hAnsi="宋体" w:eastAsia="宋体" w:cs="Times New Roman"/>
          <w:sz w:val="24"/>
          <w:lang w:val="zh-CN"/>
        </w:rPr>
        <w:t>受托人</w:t>
      </w:r>
      <w:r>
        <w:rPr>
          <w:rFonts w:ascii="宋体" w:hAnsi="宋体" w:eastAsia="宋体" w:cs="Times New Roman"/>
          <w:sz w:val="24"/>
          <w:lang w:val="zh-CN"/>
        </w:rPr>
        <w:t>负担。</w:t>
      </w:r>
    </w:p>
    <w:p w14:paraId="2DCA5620">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21.3 在中国境外发生的与本合同执行有关的一切税费均应由</w:t>
      </w:r>
      <w:r>
        <w:rPr>
          <w:rFonts w:hint="eastAsia" w:ascii="宋体" w:hAnsi="宋体" w:eastAsia="宋体" w:cs="Times New Roman"/>
          <w:sz w:val="24"/>
          <w:lang w:val="zh-CN"/>
        </w:rPr>
        <w:t>受托人</w:t>
      </w:r>
      <w:r>
        <w:rPr>
          <w:rFonts w:ascii="宋体" w:hAnsi="宋体" w:eastAsia="宋体" w:cs="Times New Roman"/>
          <w:sz w:val="24"/>
          <w:lang w:val="zh-CN"/>
        </w:rPr>
        <w:t>负担。</w:t>
      </w:r>
    </w:p>
    <w:p w14:paraId="4656C420">
      <w:pPr>
        <w:autoSpaceDE w:val="0"/>
        <w:autoSpaceDN w:val="0"/>
        <w:adjustRightInd w:val="0"/>
        <w:snapToGrid w:val="0"/>
        <w:spacing w:line="360" w:lineRule="auto"/>
        <w:ind w:firstLine="482" w:firstLineChars="200"/>
        <w:rPr>
          <w:rFonts w:hint="eastAsia" w:ascii="宋体" w:hAnsi="宋体" w:eastAsia="宋体" w:cs="Times New Roman"/>
          <w:szCs w:val="24"/>
        </w:rPr>
      </w:pPr>
      <w:r>
        <w:rPr>
          <w:rFonts w:ascii="宋体" w:hAnsi="宋体" w:eastAsia="宋体" w:cs="Times New Roman"/>
          <w:b/>
          <w:sz w:val="24"/>
        </w:rPr>
        <w:t>23、履约保证金</w:t>
      </w:r>
    </w:p>
    <w:p w14:paraId="09AEDC04">
      <w:pPr>
        <w:autoSpaceDE w:val="0"/>
        <w:autoSpaceDN w:val="0"/>
        <w:adjustRightInd w:val="0"/>
        <w:snapToGrid w:val="0"/>
        <w:spacing w:line="360" w:lineRule="auto"/>
        <w:ind w:firstLine="480" w:firstLineChars="200"/>
        <w:rPr>
          <w:rFonts w:hint="eastAsia" w:ascii="宋体" w:hAnsi="宋体" w:eastAsia="宋体" w:cs="Times New Roman"/>
        </w:rPr>
      </w:pPr>
      <w:r>
        <w:rPr>
          <w:rFonts w:hint="eastAsia" w:ascii="宋体" w:hAnsi="宋体" w:eastAsia="宋体" w:cs="Times New Roman"/>
          <w:sz w:val="24"/>
        </w:rPr>
        <w:t>23.1 本项目无需履约保证金。</w:t>
      </w:r>
    </w:p>
    <w:p w14:paraId="143B3782">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24、主导语言、适用法律、合同生效及签约地</w:t>
      </w:r>
    </w:p>
    <w:p w14:paraId="3ECD3697">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24.1 本合同应用中文书写，双方交换的与合同有关的信件和其他文件也应用中文书写。</w:t>
      </w:r>
    </w:p>
    <w:p w14:paraId="61B419D1">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24.2 本合同应按照中华人民共和国法律进行解释。</w:t>
      </w:r>
    </w:p>
    <w:p w14:paraId="554F5465">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24.3 合同</w:t>
      </w:r>
      <w:r>
        <w:rPr>
          <w:rFonts w:hint="eastAsia" w:ascii="宋体" w:hAnsi="宋体" w:eastAsia="宋体" w:cs="Times New Roman"/>
          <w:sz w:val="24"/>
          <w:lang w:val="zh-CN"/>
        </w:rPr>
        <w:t>应经</w:t>
      </w:r>
      <w:r>
        <w:rPr>
          <w:rFonts w:ascii="宋体" w:hAnsi="宋体" w:eastAsia="宋体" w:cs="Times New Roman"/>
          <w:sz w:val="24"/>
          <w:lang w:val="zh-CN"/>
        </w:rPr>
        <w:t>双方法定代表人（或授权</w:t>
      </w:r>
      <w:r>
        <w:rPr>
          <w:rFonts w:hint="eastAsia" w:ascii="宋体" w:hAnsi="宋体" w:eastAsia="宋体" w:cs="Times New Roman"/>
          <w:sz w:val="24"/>
          <w:lang w:val="zh-CN"/>
        </w:rPr>
        <w:t>代表</w:t>
      </w:r>
      <w:r>
        <w:rPr>
          <w:rFonts w:ascii="宋体" w:hAnsi="宋体" w:eastAsia="宋体" w:cs="Times New Roman"/>
          <w:sz w:val="24"/>
          <w:lang w:val="zh-CN"/>
        </w:rPr>
        <w:t>）签字并加盖公章</w:t>
      </w:r>
      <w:r>
        <w:rPr>
          <w:rFonts w:hint="eastAsia" w:ascii="宋体" w:hAnsi="宋体" w:eastAsia="宋体" w:cs="Times New Roman"/>
          <w:sz w:val="24"/>
          <w:lang w:val="zh-CN"/>
        </w:rPr>
        <w:t>或</w:t>
      </w:r>
      <w:r>
        <w:rPr>
          <w:rFonts w:ascii="宋体" w:hAnsi="宋体" w:eastAsia="宋体" w:cs="Times New Roman"/>
          <w:sz w:val="24"/>
          <w:lang w:val="zh-CN"/>
        </w:rPr>
        <w:t>合同专用章：</w:t>
      </w:r>
    </w:p>
    <w:p w14:paraId="5F658EFD">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24.4 本合同签约地为深圳市。</w:t>
      </w:r>
    </w:p>
    <w:p w14:paraId="562B7A1E">
      <w:pPr>
        <w:autoSpaceDE w:val="0"/>
        <w:autoSpaceDN w:val="0"/>
        <w:adjustRightInd w:val="0"/>
        <w:snapToGrid w:val="0"/>
        <w:spacing w:line="360" w:lineRule="auto"/>
        <w:ind w:left="482"/>
        <w:rPr>
          <w:rFonts w:hint="eastAsia" w:ascii="宋体" w:hAnsi="宋体" w:eastAsia="宋体" w:cs="Times New Roman"/>
          <w:b/>
          <w:sz w:val="24"/>
        </w:rPr>
      </w:pPr>
      <w:r>
        <w:rPr>
          <w:rFonts w:ascii="宋体" w:hAnsi="宋体" w:eastAsia="宋体" w:cs="Times New Roman"/>
          <w:b/>
          <w:sz w:val="24"/>
        </w:rPr>
        <w:t>25、通知</w:t>
      </w:r>
    </w:p>
    <w:p w14:paraId="5CF8B48D">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25.1 本合同一方给对方的通知应用书面形式或电报或传真送到合同协议书中规定的对方的地址。</w:t>
      </w:r>
    </w:p>
    <w:p w14:paraId="4C337564">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25.2 通知以送到日期或通知书上载明的生效日期为生效日期，两者中以晚的一个日期为准。</w:t>
      </w:r>
    </w:p>
    <w:p w14:paraId="6D2B53F1">
      <w:pPr>
        <w:autoSpaceDE w:val="0"/>
        <w:autoSpaceDN w:val="0"/>
        <w:adjustRightInd w:val="0"/>
        <w:snapToGrid w:val="0"/>
        <w:spacing w:line="360" w:lineRule="auto"/>
        <w:ind w:firstLine="480" w:firstLineChars="200"/>
        <w:rPr>
          <w:rFonts w:hint="eastAsia" w:ascii="宋体" w:hAnsi="宋体" w:eastAsia="宋体" w:cs="Times New Roman"/>
          <w:sz w:val="24"/>
          <w:lang w:val="zh-CN"/>
        </w:rPr>
      </w:pPr>
      <w:r>
        <w:rPr>
          <w:rFonts w:ascii="宋体" w:hAnsi="宋体" w:eastAsia="宋体" w:cs="Times New Roman"/>
          <w:sz w:val="24"/>
          <w:lang w:val="zh-CN"/>
        </w:rPr>
        <w:t>25.3 凡合同规定任何人发出通知、同意或确认时，该同意或确认不得被无故扣押。</w:t>
      </w:r>
    </w:p>
    <w:p w14:paraId="324043DB">
      <w:pPr>
        <w:autoSpaceDE w:val="0"/>
        <w:autoSpaceDN w:val="0"/>
        <w:adjustRightInd w:val="0"/>
        <w:snapToGrid w:val="0"/>
        <w:spacing w:line="360" w:lineRule="auto"/>
        <w:ind w:firstLine="480" w:firstLineChars="200"/>
        <w:jc w:val="left"/>
        <w:rPr>
          <w:rFonts w:hint="eastAsia" w:ascii="宋体" w:hAnsi="宋体" w:eastAsia="宋体" w:cs="Times New Roman"/>
          <w:sz w:val="24"/>
          <w:lang w:val="zh-CN"/>
        </w:rPr>
        <w:sectPr>
          <w:pgSz w:w="11906" w:h="16838"/>
          <w:pgMar w:top="1440" w:right="1080" w:bottom="1440" w:left="1080" w:header="851" w:footer="992" w:gutter="0"/>
          <w:cols w:space="720" w:num="1"/>
          <w:docGrid w:type="lines" w:linePitch="312" w:charSpace="0"/>
        </w:sectPr>
      </w:pPr>
    </w:p>
    <w:p w14:paraId="6677F369">
      <w:pPr>
        <w:numPr>
          <w:ilvl w:val="0"/>
          <w:numId w:val="10"/>
        </w:numPr>
        <w:spacing w:line="360" w:lineRule="auto"/>
        <w:jc w:val="center"/>
        <w:outlineLvl w:val="1"/>
        <w:rPr>
          <w:rFonts w:hint="eastAsia" w:ascii="宋体" w:hAnsi="宋体" w:eastAsia="宋体" w:cs="Times New Roman"/>
          <w:b/>
          <w:bCs/>
          <w:kern w:val="0"/>
          <w:sz w:val="32"/>
          <w:szCs w:val="32"/>
        </w:rPr>
      </w:pPr>
      <w:r>
        <w:rPr>
          <w:rFonts w:ascii="宋体" w:hAnsi="宋体" w:eastAsia="宋体" w:cs="Times New Roman"/>
          <w:b/>
          <w:bCs/>
          <w:kern w:val="0"/>
          <w:sz w:val="32"/>
          <w:szCs w:val="32"/>
        </w:rPr>
        <w:t>专用条款</w:t>
      </w:r>
    </w:p>
    <w:p w14:paraId="22C1EE98">
      <w:pPr>
        <w:autoSpaceDE w:val="0"/>
        <w:autoSpaceDN w:val="0"/>
        <w:adjustRightInd w:val="0"/>
        <w:snapToGrid w:val="0"/>
        <w:spacing w:line="360" w:lineRule="auto"/>
        <w:ind w:left="482"/>
        <w:jc w:val="left"/>
        <w:rPr>
          <w:rFonts w:hint="eastAsia" w:ascii="宋体" w:hAnsi="宋体" w:eastAsia="宋体" w:cs="Times New Roman"/>
          <w:b/>
          <w:sz w:val="24"/>
        </w:rPr>
      </w:pPr>
      <w:r>
        <w:rPr>
          <w:rFonts w:hint="eastAsia" w:ascii="宋体" w:hAnsi="宋体" w:eastAsia="宋体" w:cs="Times New Roman"/>
          <w:b/>
          <w:sz w:val="24"/>
        </w:rPr>
        <w:t>3</w:t>
      </w:r>
      <w:r>
        <w:rPr>
          <w:rFonts w:ascii="宋体" w:hAnsi="宋体" w:eastAsia="宋体" w:cs="Times New Roman"/>
          <w:b/>
          <w:sz w:val="24"/>
        </w:rPr>
        <w:t>、</w:t>
      </w:r>
      <w:r>
        <w:rPr>
          <w:rFonts w:hint="eastAsia" w:ascii="宋体" w:hAnsi="宋体" w:eastAsia="宋体" w:cs="Times New Roman"/>
          <w:b/>
          <w:sz w:val="24"/>
        </w:rPr>
        <w:t>标准</w:t>
      </w:r>
    </w:p>
    <w:p w14:paraId="04EB02D5">
      <w:pPr>
        <w:adjustRightInd w:val="0"/>
        <w:snapToGrid w:val="0"/>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3.1适用标准包括但不限于：</w:t>
      </w:r>
    </w:p>
    <w:p w14:paraId="46D84F0A">
      <w:pPr>
        <w:adjustRightInd w:val="0"/>
        <w:snapToGrid w:val="0"/>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w:t>
      </w:r>
      <w:r>
        <w:rPr>
          <w:rFonts w:ascii="宋体" w:hAnsi="宋体" w:eastAsia="宋体" w:cs="Times New Roman"/>
          <w:kern w:val="0"/>
          <w:sz w:val="24"/>
        </w:rPr>
        <w:t>1</w:t>
      </w:r>
      <w:r>
        <w:rPr>
          <w:rFonts w:hint="eastAsia" w:ascii="宋体" w:hAnsi="宋体" w:eastAsia="宋体" w:cs="Times New Roman"/>
          <w:kern w:val="0"/>
          <w:sz w:val="24"/>
        </w:rPr>
        <w:t>）</w:t>
      </w:r>
      <w:r>
        <w:rPr>
          <w:rFonts w:ascii="宋体" w:hAnsi="宋体" w:eastAsia="宋体" w:cs="Times New Roman"/>
          <w:kern w:val="0"/>
          <w:sz w:val="24"/>
        </w:rPr>
        <w:t>有关招标投标的法律、法规、规章和规范性文件的规定。</w:t>
      </w:r>
    </w:p>
    <w:p w14:paraId="735D0C2B">
      <w:pPr>
        <w:adjustRightInd w:val="0"/>
        <w:snapToGrid w:val="0"/>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w:t>
      </w:r>
      <w:r>
        <w:rPr>
          <w:rFonts w:ascii="宋体" w:hAnsi="宋体" w:eastAsia="宋体" w:cs="Times New Roman"/>
          <w:kern w:val="0"/>
          <w:sz w:val="24"/>
        </w:rPr>
        <w:t>2</w:t>
      </w:r>
      <w:r>
        <w:rPr>
          <w:rFonts w:hint="eastAsia" w:ascii="宋体" w:hAnsi="宋体" w:eastAsia="宋体" w:cs="Times New Roman"/>
          <w:kern w:val="0"/>
          <w:sz w:val="24"/>
        </w:rPr>
        <w:t>）</w:t>
      </w:r>
      <w:r>
        <w:rPr>
          <w:rFonts w:ascii="宋体" w:hAnsi="宋体" w:eastAsia="宋体" w:cs="Times New Roman"/>
          <w:kern w:val="0"/>
          <w:sz w:val="24"/>
        </w:rPr>
        <w:t>《中华人民共和国</w:t>
      </w:r>
      <w:r>
        <w:rPr>
          <w:rFonts w:hint="eastAsia" w:ascii="宋体" w:hAnsi="宋体" w:eastAsia="宋体" w:cs="Times New Roman"/>
          <w:kern w:val="0"/>
          <w:sz w:val="24"/>
        </w:rPr>
        <w:t>民法典</w:t>
      </w:r>
      <w:r>
        <w:rPr>
          <w:rFonts w:ascii="宋体" w:hAnsi="宋体" w:eastAsia="宋体" w:cs="Times New Roman"/>
          <w:kern w:val="0"/>
          <w:sz w:val="24"/>
        </w:rPr>
        <w:t>》、《中华人民共和国建筑法》。</w:t>
      </w:r>
    </w:p>
    <w:p w14:paraId="53A8D025">
      <w:pPr>
        <w:adjustRightInd w:val="0"/>
        <w:snapToGrid w:val="0"/>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w:t>
      </w:r>
      <w:r>
        <w:rPr>
          <w:rFonts w:ascii="宋体" w:hAnsi="宋体" w:eastAsia="宋体" w:cs="Times New Roman"/>
          <w:kern w:val="0"/>
          <w:sz w:val="24"/>
        </w:rPr>
        <w:t>3</w:t>
      </w:r>
      <w:r>
        <w:rPr>
          <w:rFonts w:hint="eastAsia" w:ascii="宋体" w:hAnsi="宋体" w:eastAsia="宋体" w:cs="Times New Roman"/>
          <w:kern w:val="0"/>
          <w:sz w:val="24"/>
        </w:rPr>
        <w:t>）</w:t>
      </w:r>
      <w:r>
        <w:rPr>
          <w:rFonts w:ascii="宋体" w:hAnsi="宋体" w:eastAsia="宋体" w:cs="Times New Roman"/>
          <w:kern w:val="0"/>
          <w:sz w:val="24"/>
        </w:rPr>
        <w:t>《建设工程质量管理条例》、《建设工程勘察设计管理条例》。</w:t>
      </w:r>
    </w:p>
    <w:p w14:paraId="0E460578">
      <w:pPr>
        <w:adjustRightInd w:val="0"/>
        <w:snapToGrid w:val="0"/>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w:t>
      </w:r>
      <w:r>
        <w:rPr>
          <w:rFonts w:ascii="宋体" w:hAnsi="宋体" w:eastAsia="宋体" w:cs="Times New Roman"/>
          <w:kern w:val="0"/>
          <w:sz w:val="24"/>
        </w:rPr>
        <w:t>4</w:t>
      </w:r>
      <w:r>
        <w:rPr>
          <w:rFonts w:hint="eastAsia" w:ascii="宋体" w:hAnsi="宋体" w:eastAsia="宋体" w:cs="Times New Roman"/>
          <w:kern w:val="0"/>
          <w:sz w:val="24"/>
        </w:rPr>
        <w:t>）建设部《房屋建筑和市政基础设施工程图纸精细化设计文件审查管理办法》（</w:t>
      </w:r>
      <w:r>
        <w:rPr>
          <w:rFonts w:ascii="宋体" w:hAnsi="宋体" w:eastAsia="宋体" w:cs="Times New Roman"/>
          <w:kern w:val="0"/>
          <w:sz w:val="24"/>
        </w:rPr>
        <w:t>2013年4月27日中华人民共和国住房和城乡建设部令第13号发布</w:t>
      </w:r>
      <w:r>
        <w:rPr>
          <w:rFonts w:hint="eastAsia" w:ascii="宋体" w:hAnsi="宋体" w:eastAsia="宋体" w:cs="Times New Roman"/>
          <w:kern w:val="0"/>
          <w:sz w:val="24"/>
        </w:rPr>
        <w:t>）。</w:t>
      </w:r>
    </w:p>
    <w:p w14:paraId="2F4C80E5">
      <w:pPr>
        <w:adjustRightInd w:val="0"/>
        <w:snapToGrid w:val="0"/>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w:t>
      </w:r>
      <w:r>
        <w:rPr>
          <w:rFonts w:ascii="宋体" w:hAnsi="宋体" w:eastAsia="宋体" w:cs="Times New Roman"/>
          <w:kern w:val="0"/>
          <w:sz w:val="24"/>
        </w:rPr>
        <w:t>5</w:t>
      </w:r>
      <w:r>
        <w:rPr>
          <w:rFonts w:hint="eastAsia" w:ascii="宋体" w:hAnsi="宋体" w:eastAsia="宋体" w:cs="Times New Roman"/>
          <w:kern w:val="0"/>
          <w:sz w:val="24"/>
        </w:rPr>
        <w:t>）</w:t>
      </w:r>
      <w:r>
        <w:rPr>
          <w:rFonts w:ascii="宋体" w:hAnsi="宋体" w:eastAsia="宋体" w:cs="Times New Roman"/>
          <w:kern w:val="0"/>
          <w:sz w:val="24"/>
        </w:rPr>
        <w:t>国家及地方有关建设工程设计文件</w:t>
      </w:r>
      <w:r>
        <w:rPr>
          <w:rFonts w:hint="eastAsia" w:ascii="宋体" w:hAnsi="宋体" w:eastAsia="宋体" w:cs="Times New Roman"/>
          <w:kern w:val="0"/>
          <w:sz w:val="24"/>
        </w:rPr>
        <w:t>设计咨询服务</w:t>
      </w:r>
      <w:r>
        <w:rPr>
          <w:rFonts w:ascii="宋体" w:hAnsi="宋体" w:eastAsia="宋体" w:cs="Times New Roman"/>
          <w:kern w:val="0"/>
          <w:sz w:val="24"/>
        </w:rPr>
        <w:t>法规和规章。</w:t>
      </w:r>
    </w:p>
    <w:p w14:paraId="24F9A2CA">
      <w:pPr>
        <w:adjustRightInd w:val="0"/>
        <w:snapToGrid w:val="0"/>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w:t>
      </w:r>
      <w:r>
        <w:rPr>
          <w:rFonts w:ascii="宋体" w:hAnsi="宋体" w:eastAsia="宋体" w:cs="Times New Roman"/>
          <w:kern w:val="0"/>
          <w:sz w:val="24"/>
        </w:rPr>
        <w:t>6</w:t>
      </w:r>
      <w:r>
        <w:rPr>
          <w:rFonts w:hint="eastAsia" w:ascii="宋体" w:hAnsi="宋体" w:eastAsia="宋体" w:cs="Times New Roman"/>
          <w:kern w:val="0"/>
          <w:sz w:val="24"/>
        </w:rPr>
        <w:t>）</w:t>
      </w:r>
      <w:r>
        <w:rPr>
          <w:rFonts w:ascii="宋体" w:hAnsi="宋体" w:eastAsia="宋体" w:cs="Times New Roman"/>
          <w:kern w:val="0"/>
          <w:sz w:val="24"/>
        </w:rPr>
        <w:t>国家及地方有关规定和规范</w:t>
      </w:r>
      <w:r>
        <w:rPr>
          <w:rFonts w:hint="eastAsia" w:ascii="宋体" w:hAnsi="宋体" w:eastAsia="宋体" w:cs="Times New Roman"/>
          <w:kern w:val="0"/>
          <w:sz w:val="24"/>
        </w:rPr>
        <w:t>。</w:t>
      </w:r>
    </w:p>
    <w:p w14:paraId="17E6F1CF">
      <w:pPr>
        <w:adjustRightInd w:val="0"/>
        <w:snapToGrid w:val="0"/>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w:t>
      </w:r>
      <w:r>
        <w:rPr>
          <w:rFonts w:ascii="宋体" w:hAnsi="宋体" w:eastAsia="宋体" w:cs="Times New Roman"/>
          <w:kern w:val="0"/>
          <w:sz w:val="24"/>
        </w:rPr>
        <w:t>7</w:t>
      </w:r>
      <w:r>
        <w:rPr>
          <w:rFonts w:hint="eastAsia" w:ascii="宋体" w:hAnsi="宋体" w:eastAsia="宋体" w:cs="Times New Roman"/>
          <w:kern w:val="0"/>
          <w:sz w:val="24"/>
        </w:rPr>
        <w:t>）行业标准及规范</w:t>
      </w:r>
      <w:r>
        <w:rPr>
          <w:rFonts w:ascii="宋体" w:hAnsi="宋体" w:eastAsia="宋体" w:cs="Times New Roman"/>
          <w:kern w:val="0"/>
          <w:sz w:val="24"/>
        </w:rPr>
        <w:t>；</w:t>
      </w:r>
    </w:p>
    <w:p w14:paraId="11D73E2F">
      <w:pPr>
        <w:adjustRightInd w:val="0"/>
        <w:snapToGrid w:val="0"/>
        <w:spacing w:line="360" w:lineRule="auto"/>
        <w:ind w:firstLine="480" w:firstLineChars="200"/>
        <w:jc w:val="left"/>
        <w:rPr>
          <w:rFonts w:hint="eastAsia" w:ascii="宋体" w:hAnsi="宋体" w:eastAsia="宋体" w:cs="Times New Roman"/>
          <w:kern w:val="0"/>
          <w:sz w:val="24"/>
        </w:rPr>
      </w:pPr>
      <w:r>
        <w:rPr>
          <w:rFonts w:ascii="宋体" w:hAnsi="宋体" w:eastAsia="宋体" w:cs="Times New Roman"/>
          <w:kern w:val="0"/>
          <w:sz w:val="24"/>
        </w:rPr>
        <w:t>（8）建设工程批准文件。</w:t>
      </w:r>
    </w:p>
    <w:p w14:paraId="09795C75">
      <w:pPr>
        <w:autoSpaceDE w:val="0"/>
        <w:autoSpaceDN w:val="0"/>
        <w:adjustRightInd w:val="0"/>
        <w:snapToGrid w:val="0"/>
        <w:spacing w:line="360" w:lineRule="auto"/>
        <w:ind w:left="482"/>
        <w:jc w:val="left"/>
        <w:rPr>
          <w:rFonts w:hint="eastAsia" w:ascii="宋体" w:hAnsi="宋体" w:eastAsia="宋体" w:cs="Times New Roman"/>
          <w:b/>
          <w:sz w:val="24"/>
        </w:rPr>
      </w:pPr>
      <w:r>
        <w:rPr>
          <w:rFonts w:hint="eastAsia" w:ascii="宋体" w:hAnsi="宋体" w:eastAsia="宋体" w:cs="Times New Roman"/>
          <w:b/>
          <w:sz w:val="24"/>
        </w:rPr>
        <w:t>9</w:t>
      </w:r>
      <w:r>
        <w:rPr>
          <w:rFonts w:ascii="宋体" w:hAnsi="宋体" w:eastAsia="宋体" w:cs="Times New Roman"/>
          <w:b/>
          <w:sz w:val="24"/>
        </w:rPr>
        <w:t>、</w:t>
      </w:r>
      <w:r>
        <w:rPr>
          <w:rFonts w:hint="eastAsia" w:ascii="宋体" w:hAnsi="宋体" w:eastAsia="宋体" w:cs="Times New Roman"/>
          <w:b/>
          <w:sz w:val="24"/>
        </w:rPr>
        <w:t>价格</w:t>
      </w:r>
    </w:p>
    <w:p w14:paraId="0FDC9DA5">
      <w:pPr>
        <w:tabs>
          <w:tab w:val="left" w:pos="1050"/>
        </w:tabs>
        <w:spacing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szCs w:val="24"/>
        </w:rPr>
        <w:t>新增如下约定</w:t>
      </w:r>
      <w:r>
        <w:rPr>
          <w:rFonts w:ascii="宋体" w:hAnsi="宋体" w:eastAsia="宋体" w:cs="Times New Roman"/>
          <w:bCs/>
          <w:sz w:val="24"/>
        </w:rPr>
        <w:t xml:space="preserve">： </w:t>
      </w:r>
    </w:p>
    <w:p w14:paraId="1D986BB4">
      <w:pPr>
        <w:tabs>
          <w:tab w:val="left" w:pos="1050"/>
        </w:tabs>
        <w:adjustRightInd w:val="0"/>
        <w:snapToGrid w:val="0"/>
        <w:spacing w:line="360" w:lineRule="auto"/>
        <w:ind w:firstLine="480" w:firstLineChars="200"/>
        <w:rPr>
          <w:rFonts w:hint="eastAsia" w:ascii="宋体" w:hAnsi="宋体" w:eastAsia="宋体" w:cs="宋体"/>
          <w:b/>
          <w:bCs/>
          <w:spacing w:val="8"/>
          <w:sz w:val="24"/>
          <w:szCs w:val="24"/>
        </w:rPr>
      </w:pPr>
      <w:r>
        <w:rPr>
          <w:rFonts w:hint="eastAsia" w:ascii="宋体" w:hAnsi="宋体" w:eastAsia="宋体" w:cs="Times New Roman"/>
          <w:bCs/>
          <w:sz w:val="24"/>
          <w:szCs w:val="20"/>
        </w:rPr>
        <w:t>9</w:t>
      </w:r>
      <w:r>
        <w:rPr>
          <w:rFonts w:ascii="宋体" w:hAnsi="宋体" w:eastAsia="宋体" w:cs="Times New Roman"/>
          <w:bCs/>
          <w:sz w:val="24"/>
          <w:szCs w:val="20"/>
        </w:rPr>
        <w:t>.</w:t>
      </w:r>
      <w:r>
        <w:rPr>
          <w:rFonts w:hint="eastAsia" w:ascii="宋体" w:hAnsi="宋体" w:eastAsia="宋体" w:cs="Times New Roman"/>
          <w:bCs/>
          <w:sz w:val="24"/>
          <w:szCs w:val="20"/>
        </w:rPr>
        <w:t>5</w:t>
      </w:r>
      <w:r>
        <w:rPr>
          <w:rFonts w:hint="eastAsia" w:ascii="宋体" w:hAnsi="宋体" w:eastAsia="宋体" w:cs="Times New Roman"/>
          <w:sz w:val="24"/>
          <w:szCs w:val="20"/>
        </w:rPr>
        <w:t>本项目暂定总建筑面积约</w:t>
      </w:r>
      <w:r>
        <w:rPr>
          <w:rFonts w:hint="eastAsia" w:ascii="宋体" w:hAnsi="宋体" w:eastAsia="宋体" w:cs="宋体"/>
          <w:spacing w:val="8"/>
          <w:sz w:val="24"/>
          <w:szCs w:val="24"/>
          <w:u w:val="single"/>
        </w:rPr>
        <w:t>152050.11</w:t>
      </w:r>
      <w:r>
        <w:rPr>
          <w:rFonts w:hint="eastAsia" w:ascii="宋体" w:hAnsi="宋体" w:eastAsia="宋体" w:cs="Times New Roman"/>
          <w:sz w:val="24"/>
          <w:szCs w:val="20"/>
        </w:rPr>
        <w:t>平方米，设计咨询服务</w:t>
      </w:r>
      <w:r>
        <w:rPr>
          <w:rFonts w:ascii="宋体" w:hAnsi="宋体" w:eastAsia="宋体" w:cs="Times New Roman"/>
          <w:sz w:val="24"/>
          <w:szCs w:val="20"/>
        </w:rPr>
        <w:t>费用</w:t>
      </w:r>
      <w:r>
        <w:rPr>
          <w:rFonts w:hint="eastAsia" w:ascii="宋体" w:hAnsi="宋体" w:eastAsia="宋体" w:cs="Times New Roman"/>
          <w:sz w:val="24"/>
          <w:szCs w:val="20"/>
        </w:rPr>
        <w:t>（含税）暂定</w:t>
      </w:r>
      <w:r>
        <w:rPr>
          <w:rFonts w:ascii="宋体" w:hAnsi="宋体" w:eastAsia="宋体" w:cs="Times New Roman"/>
          <w:sz w:val="24"/>
          <w:szCs w:val="20"/>
        </w:rPr>
        <w:t>总价为</w:t>
      </w:r>
      <w:r>
        <w:rPr>
          <w:rFonts w:hint="eastAsia" w:ascii="宋体" w:hAnsi="宋体" w:eastAsia="宋体" w:cs="Times New Roman"/>
          <w:sz w:val="24"/>
          <w:szCs w:val="20"/>
        </w:rPr>
        <w:t>：</w:t>
      </w:r>
      <w:r>
        <w:rPr>
          <w:rFonts w:hint="eastAsia" w:ascii="宋体" w:hAnsi="宋体" w:eastAsia="宋体" w:cs="宋体"/>
          <w:sz w:val="24"/>
          <w:szCs w:val="24"/>
        </w:rPr>
        <w:t>¥</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rPr>
        <w:t>（大写：人民币</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rPr>
        <w:t>）</w:t>
      </w:r>
      <w:r>
        <w:rPr>
          <w:rFonts w:hint="eastAsia" w:ascii="宋体" w:hAnsi="宋体" w:eastAsia="宋体" w:cs="Times New Roman"/>
          <w:sz w:val="24"/>
          <w:szCs w:val="20"/>
        </w:rPr>
        <w:t>，</w:t>
      </w:r>
      <w:bookmarkStart w:id="4" w:name="OLE_LINK14"/>
      <w:r>
        <w:rPr>
          <w:rFonts w:hint="eastAsia" w:ascii="宋体" w:hAnsi="宋体" w:eastAsia="宋体" w:cs="Times New Roman"/>
          <w:sz w:val="24"/>
          <w:szCs w:val="20"/>
        </w:rPr>
        <w:t>中标</w:t>
      </w:r>
      <w:bookmarkEnd w:id="4"/>
      <w:r>
        <w:rPr>
          <w:rFonts w:hint="eastAsia" w:ascii="宋体" w:hAnsi="宋体" w:eastAsia="宋体" w:cs="Times New Roman"/>
          <w:sz w:val="24"/>
          <w:szCs w:val="20"/>
        </w:rPr>
        <w:t>下浮率：</w:t>
      </w:r>
      <w:r>
        <w:rPr>
          <w:rFonts w:hint="eastAsia" w:ascii="宋体" w:hAnsi="宋体" w:eastAsia="宋体" w:cs="宋体"/>
          <w:spacing w:val="8"/>
          <w:sz w:val="24"/>
          <w:szCs w:val="24"/>
          <w:u w:val="single"/>
        </w:rPr>
        <w:t xml:space="preserve"> </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u w:val="single"/>
        </w:rPr>
        <w:t xml:space="preserve"> </w:t>
      </w:r>
      <w:r>
        <w:rPr>
          <w:rFonts w:hint="eastAsia" w:ascii="宋体" w:hAnsi="宋体" w:eastAsia="宋体" w:cs="Times New Roman"/>
          <w:sz w:val="24"/>
          <w:szCs w:val="20"/>
        </w:rPr>
        <w:t>%。</w:t>
      </w:r>
      <w:r>
        <w:rPr>
          <w:rFonts w:hint="eastAsia" w:ascii="宋体" w:hAnsi="宋体" w:eastAsia="宋体" w:cs="宋体"/>
          <w:sz w:val="24"/>
          <w:szCs w:val="24"/>
        </w:rPr>
        <w:t>其中，不含税价：¥</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pacing w:val="8"/>
          <w:sz w:val="24"/>
          <w:szCs w:val="24"/>
        </w:rPr>
        <w:t>大</w:t>
      </w:r>
      <w:r>
        <w:rPr>
          <w:rFonts w:hint="eastAsia" w:ascii="宋体" w:hAnsi="宋体" w:eastAsia="宋体" w:cs="宋体"/>
          <w:sz w:val="24"/>
          <w:szCs w:val="24"/>
        </w:rPr>
        <w:t>写：人民币</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z w:val="24"/>
          <w:szCs w:val="24"/>
        </w:rPr>
        <w:t>），增值税：¥</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pacing w:val="8"/>
          <w:sz w:val="24"/>
          <w:szCs w:val="24"/>
        </w:rPr>
        <w:t>大</w:t>
      </w:r>
      <w:r>
        <w:rPr>
          <w:rFonts w:hint="eastAsia" w:ascii="宋体" w:hAnsi="宋体" w:eastAsia="宋体" w:cs="宋体"/>
          <w:sz w:val="24"/>
          <w:szCs w:val="24"/>
        </w:rPr>
        <w:t>写：人民币</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pacing w:val="8"/>
          <w:sz w:val="24"/>
          <w:szCs w:val="24"/>
        </w:rPr>
        <w:t>。</w:t>
      </w:r>
    </w:p>
    <w:p w14:paraId="7B68AB09">
      <w:pPr>
        <w:adjustRightInd w:val="0"/>
        <w:snapToGrid w:val="0"/>
        <w:spacing w:line="360" w:lineRule="auto"/>
        <w:ind w:firstLine="480" w:firstLineChars="200"/>
        <w:jc w:val="left"/>
        <w:rPr>
          <w:rFonts w:hint="eastAsia" w:ascii="宋体" w:hAnsi="宋体" w:eastAsia="宋体" w:cs="Times New Roman"/>
          <w:bCs/>
          <w:sz w:val="24"/>
        </w:rPr>
      </w:pPr>
      <w:bookmarkStart w:id="5" w:name="_Hlk201846692"/>
      <w:r>
        <w:rPr>
          <w:rFonts w:hint="eastAsia" w:ascii="宋体" w:hAnsi="宋体" w:eastAsia="宋体" w:cs="Times New Roman"/>
          <w:bCs/>
          <w:sz w:val="24"/>
        </w:rPr>
        <w:t>（1）全阶段设计咨询费固定部分：中标单价为</w:t>
      </w:r>
      <w:r>
        <w:rPr>
          <w:rFonts w:hint="eastAsia" w:ascii="宋体" w:hAnsi="宋体" w:eastAsia="宋体" w:cs="宋体"/>
          <w:spacing w:val="8"/>
          <w:sz w:val="24"/>
          <w:szCs w:val="24"/>
          <w:u w:val="single"/>
        </w:rPr>
        <w:t xml:space="preserve"> </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u w:val="single"/>
        </w:rPr>
        <w:t xml:space="preserve"> </w:t>
      </w:r>
      <w:r>
        <w:rPr>
          <w:rFonts w:hint="eastAsia" w:ascii="宋体" w:hAnsi="宋体" w:eastAsia="宋体" w:cs="Times New Roman"/>
          <w:bCs/>
          <w:sz w:val="24"/>
        </w:rPr>
        <w:t>元/</w:t>
      </w:r>
      <w:r>
        <w:rPr>
          <w:rFonts w:hint="eastAsia" w:ascii="宋体" w:hAnsi="宋体" w:eastAsia="宋体" w:cs="Times New Roman"/>
          <w:sz w:val="24"/>
        </w:rPr>
        <w:t>㎡（中标单价=</w:t>
      </w:r>
      <w:r>
        <w:rPr>
          <w:rFonts w:hint="eastAsia" w:ascii="宋体" w:hAnsi="宋体" w:eastAsia="宋体" w:cs="Times New Roman"/>
          <w:bCs/>
          <w:sz w:val="24"/>
        </w:rPr>
        <w:t>基础费单价×（1-</w:t>
      </w:r>
      <w:r>
        <w:rPr>
          <w:rFonts w:hint="eastAsia" w:ascii="宋体" w:hAnsi="宋体" w:eastAsia="宋体" w:cs="Times New Roman"/>
          <w:sz w:val="24"/>
          <w:szCs w:val="20"/>
        </w:rPr>
        <w:t>中标</w:t>
      </w:r>
      <w:r>
        <w:rPr>
          <w:rFonts w:hint="eastAsia" w:ascii="宋体" w:hAnsi="宋体" w:eastAsia="宋体" w:cs="Times New Roman"/>
          <w:bCs/>
          <w:sz w:val="24"/>
        </w:rPr>
        <w:t>下浮率）</w:t>
      </w:r>
      <w:r>
        <w:rPr>
          <w:rFonts w:hint="eastAsia" w:ascii="宋体" w:hAnsi="宋体" w:eastAsia="宋体" w:cs="Times New Roman"/>
          <w:sz w:val="24"/>
        </w:rPr>
        <w:t>）</w:t>
      </w:r>
      <w:r>
        <w:rPr>
          <w:rFonts w:hint="eastAsia" w:ascii="宋体" w:hAnsi="宋体" w:eastAsia="宋体" w:cs="Times New Roman"/>
          <w:bCs/>
          <w:sz w:val="24"/>
          <w:szCs w:val="24"/>
        </w:rPr>
        <w:t>，固定部分暂定总价</w:t>
      </w:r>
      <w:r>
        <w:rPr>
          <w:rFonts w:hint="eastAsia" w:ascii="宋体" w:hAnsi="宋体" w:eastAsia="宋体" w:cs="Times New Roman"/>
          <w:bCs/>
          <w:sz w:val="24"/>
          <w:szCs w:val="24"/>
          <w:u w:val="single"/>
          <w:lang w:val="en-US" w:eastAsia="zh-CN"/>
        </w:rPr>
        <w:t xml:space="preserve">          </w:t>
      </w:r>
      <w:r>
        <w:rPr>
          <w:rFonts w:hint="eastAsia" w:ascii="宋体" w:hAnsi="宋体" w:eastAsia="宋体" w:cs="Times New Roman"/>
          <w:bCs/>
          <w:sz w:val="24"/>
          <w:szCs w:val="24"/>
          <w:u w:val="single"/>
        </w:rPr>
        <w:t xml:space="preserve"> </w:t>
      </w:r>
      <w:r>
        <w:rPr>
          <w:rFonts w:hint="eastAsia" w:ascii="宋体" w:hAnsi="宋体" w:eastAsia="宋体" w:cs="Times New Roman"/>
          <w:bCs/>
          <w:sz w:val="24"/>
          <w:szCs w:val="24"/>
        </w:rPr>
        <w:t>元</w:t>
      </w:r>
      <w:r>
        <w:rPr>
          <w:rFonts w:hint="eastAsia" w:ascii="宋体" w:hAnsi="宋体" w:eastAsia="宋体" w:cs="Times New Roman"/>
          <w:bCs/>
          <w:sz w:val="24"/>
        </w:rPr>
        <w:t xml:space="preserve">； </w:t>
      </w:r>
    </w:p>
    <w:p w14:paraId="79765F84">
      <w:pPr>
        <w:adjustRightInd w:val="0"/>
        <w:snapToGrid w:val="0"/>
        <w:spacing w:before="10" w:after="10"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rPr>
        <w:t>（2）优化效益费部分：计费基础为优化金额，优化金额≤100万元，效益费率10.0%；100万元＜优化金额≤500万元，效益费率9.0%；500万元＜优化金额≤1000万元，效益费率8.0%。</w:t>
      </w:r>
    </w:p>
    <w:p w14:paraId="4D3B56D8">
      <w:pPr>
        <w:adjustRightInd w:val="0"/>
        <w:snapToGrid w:val="0"/>
        <w:spacing w:line="360" w:lineRule="auto"/>
        <w:ind w:firstLine="480" w:firstLineChars="200"/>
        <w:jc w:val="left"/>
        <w:rPr>
          <w:rFonts w:hint="eastAsia" w:ascii="宋体" w:hAnsi="宋体" w:eastAsia="宋体" w:cs="Times New Roman"/>
          <w:bCs/>
          <w:sz w:val="24"/>
        </w:rPr>
      </w:pPr>
      <w:r>
        <w:rPr>
          <w:rFonts w:ascii="宋体" w:hAnsi="宋体" w:eastAsia="宋体" w:cs="Times New Roman"/>
          <w:bCs/>
          <w:sz w:val="24"/>
        </w:rPr>
        <w:t>9.</w:t>
      </w:r>
      <w:r>
        <w:rPr>
          <w:rFonts w:hint="eastAsia" w:ascii="宋体" w:hAnsi="宋体" w:eastAsia="宋体" w:cs="Times New Roman"/>
          <w:bCs/>
          <w:sz w:val="24"/>
        </w:rPr>
        <w:t>6</w:t>
      </w:r>
      <w:r>
        <w:rPr>
          <w:rFonts w:ascii="宋体" w:hAnsi="宋体" w:eastAsia="宋体" w:cs="Times New Roman"/>
          <w:bCs/>
          <w:sz w:val="24"/>
        </w:rPr>
        <w:t>合同</w:t>
      </w:r>
      <w:r>
        <w:rPr>
          <w:rFonts w:ascii="宋体" w:hAnsi="宋体" w:eastAsia="宋体" w:cs="Times New Roman"/>
          <w:kern w:val="0"/>
          <w:sz w:val="24"/>
        </w:rPr>
        <w:t>结算</w:t>
      </w:r>
      <w:bookmarkStart w:id="11" w:name="_GoBack"/>
      <w:bookmarkEnd w:id="11"/>
    </w:p>
    <w:p w14:paraId="787F7B1A">
      <w:pPr>
        <w:adjustRightInd w:val="0"/>
        <w:snapToGrid w:val="0"/>
        <w:spacing w:line="360" w:lineRule="auto"/>
        <w:ind w:firstLine="480" w:firstLineChars="200"/>
        <w:jc w:val="left"/>
        <w:rPr>
          <w:rFonts w:hint="eastAsia" w:ascii="宋体" w:hAnsi="宋体" w:eastAsia="宋体" w:cs="宋体"/>
          <w:spacing w:val="8"/>
          <w:sz w:val="24"/>
          <w:szCs w:val="24"/>
        </w:rPr>
      </w:pPr>
      <w:r>
        <w:rPr>
          <w:rFonts w:hint="eastAsia" w:ascii="宋体" w:hAnsi="宋体" w:eastAsia="宋体" w:cs="Times New Roman"/>
          <w:bCs/>
          <w:sz w:val="24"/>
        </w:rPr>
        <w:t>设计咨询服务结算价=《建设工程规划许可证》中确定的总建筑面积×</w:t>
      </w:r>
      <w:bookmarkStart w:id="6" w:name="OLE_LINK13"/>
      <w:r>
        <w:rPr>
          <w:rFonts w:hint="eastAsia" w:ascii="宋体" w:hAnsi="宋体" w:eastAsia="宋体" w:cs="Times New Roman"/>
          <w:bCs/>
          <w:sz w:val="24"/>
        </w:rPr>
        <w:t>基础费单价×（1-投标下浮率）</w:t>
      </w:r>
      <w:bookmarkEnd w:id="6"/>
      <w:r>
        <w:rPr>
          <w:rFonts w:hint="eastAsia" w:ascii="宋体" w:hAnsi="宋体" w:eastAsia="宋体" w:cs="Times New Roman"/>
          <w:bCs/>
          <w:sz w:val="24"/>
        </w:rPr>
        <w:t>+优化金额×对应效益费率，其中优化金额上限为建安费×0.5%。</w:t>
      </w:r>
      <w:r>
        <w:rPr>
          <w:rFonts w:hint="eastAsia" w:ascii="宋体" w:hAnsi="宋体" w:eastAsia="宋体" w:cs="宋体"/>
          <w:spacing w:val="8"/>
          <w:sz w:val="24"/>
          <w:szCs w:val="24"/>
        </w:rPr>
        <w:t>若国家政策导致增值税率发生变化的，不含增值税金额保持不变，合同未执行部分含税价按变化后的税率执行。</w:t>
      </w:r>
      <w:bookmarkEnd w:id="5"/>
    </w:p>
    <w:p w14:paraId="4DA27E18">
      <w:pPr>
        <w:adjustRightInd w:val="0"/>
        <w:snapToGrid w:val="0"/>
        <w:spacing w:line="360" w:lineRule="auto"/>
        <w:ind w:firstLine="512" w:firstLineChars="200"/>
        <w:jc w:val="left"/>
        <w:rPr>
          <w:rFonts w:hint="eastAsia" w:ascii="宋体" w:hAnsi="宋体" w:eastAsia="宋体" w:cs="Times New Roman"/>
          <w:bCs/>
          <w:sz w:val="24"/>
        </w:rPr>
      </w:pPr>
      <w:r>
        <w:rPr>
          <w:rFonts w:hint="eastAsia" w:ascii="宋体" w:hAnsi="宋体" w:eastAsia="宋体" w:cs="宋体"/>
          <w:spacing w:val="8"/>
          <w:sz w:val="24"/>
          <w:szCs w:val="24"/>
        </w:rPr>
        <w:t>若本项目列入政府指定机构审计或者核查范围，则最终结算价款以政府指定机构审计或者核查的结果为准；若本项目未列入政府指定机构审计或者核查范围，则最终结算价款以甲方委托的中介机构出具的并经甲方确认的审核报告为准。</w:t>
      </w:r>
    </w:p>
    <w:p w14:paraId="6DCC3D0D">
      <w:pPr>
        <w:adjustRightInd w:val="0"/>
        <w:snapToGrid w:val="0"/>
        <w:spacing w:line="360" w:lineRule="auto"/>
        <w:ind w:firstLine="482" w:firstLineChars="200"/>
        <w:jc w:val="left"/>
        <w:rPr>
          <w:rFonts w:hint="eastAsia" w:ascii="宋体" w:hAnsi="宋体" w:eastAsia="宋体" w:cs="Times New Roman"/>
          <w:b/>
          <w:sz w:val="24"/>
        </w:rPr>
      </w:pPr>
      <w:r>
        <w:rPr>
          <w:rFonts w:hint="eastAsia" w:ascii="宋体" w:hAnsi="宋体" w:eastAsia="宋体" w:cs="Times New Roman"/>
          <w:b/>
          <w:sz w:val="24"/>
        </w:rPr>
        <w:t>10、付款</w:t>
      </w:r>
    </w:p>
    <w:p w14:paraId="4F4F0FDC">
      <w:pPr>
        <w:adjustRightInd w:val="0"/>
        <w:snapToGrid w:val="0"/>
        <w:spacing w:line="360" w:lineRule="auto"/>
        <w:ind w:firstLine="480" w:firstLineChars="200"/>
        <w:jc w:val="left"/>
        <w:rPr>
          <w:rFonts w:hint="eastAsia" w:ascii="宋体" w:hAnsi="宋体" w:eastAsia="宋体" w:cs="Times New Roman"/>
          <w:bCs/>
          <w:sz w:val="24"/>
        </w:rPr>
      </w:pPr>
      <w:r>
        <w:rPr>
          <w:rFonts w:hint="eastAsia" w:ascii="宋体" w:hAnsi="宋体" w:eastAsia="宋体" w:cs="Times New Roman"/>
          <w:bCs/>
          <w:sz w:val="24"/>
        </w:rPr>
        <w:t>新增如下约定：</w:t>
      </w:r>
    </w:p>
    <w:p w14:paraId="272059BE">
      <w:pPr>
        <w:adjustRightInd w:val="0"/>
        <w:snapToGrid w:val="0"/>
        <w:spacing w:line="360" w:lineRule="auto"/>
        <w:ind w:firstLine="480" w:firstLineChars="200"/>
        <w:jc w:val="left"/>
        <w:rPr>
          <w:rFonts w:hint="eastAsia" w:ascii="宋体" w:hAnsi="宋体" w:eastAsia="宋体" w:cs="Times New Roman"/>
          <w:kern w:val="0"/>
          <w:sz w:val="24"/>
        </w:rPr>
      </w:pPr>
      <w:r>
        <w:rPr>
          <w:rFonts w:ascii="宋体" w:hAnsi="宋体" w:eastAsia="宋体" w:cs="Times New Roman"/>
          <w:bCs/>
          <w:sz w:val="24"/>
        </w:rPr>
        <w:t>10.3</w:t>
      </w:r>
      <w:r>
        <w:rPr>
          <w:rFonts w:ascii="宋体" w:hAnsi="宋体" w:eastAsia="宋体" w:cs="Times New Roman"/>
          <w:kern w:val="0"/>
          <w:sz w:val="24"/>
        </w:rPr>
        <w:t>合同</w:t>
      </w:r>
      <w:r>
        <w:rPr>
          <w:rFonts w:hint="eastAsia" w:ascii="宋体" w:hAnsi="宋体" w:eastAsia="宋体" w:cs="Times New Roman"/>
          <w:kern w:val="0"/>
          <w:sz w:val="24"/>
        </w:rPr>
        <w:t>付款</w:t>
      </w:r>
      <w:r>
        <w:rPr>
          <w:rFonts w:ascii="宋体" w:hAnsi="宋体" w:eastAsia="宋体" w:cs="Times New Roman"/>
          <w:kern w:val="0"/>
          <w:sz w:val="24"/>
        </w:rPr>
        <w:t>方式</w:t>
      </w:r>
    </w:p>
    <w:p w14:paraId="1F1F9A4E">
      <w:pPr>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rPr>
        <w:t>本项目全阶段设计咨询服务费=全阶段设计咨询费固定部分+</w:t>
      </w:r>
      <w:bookmarkStart w:id="7" w:name="_Hlk201846737"/>
      <w:r>
        <w:rPr>
          <w:rFonts w:hint="eastAsia" w:ascii="宋体" w:hAnsi="宋体" w:eastAsia="宋体" w:cs="Times New Roman"/>
          <w:bCs/>
          <w:sz w:val="24"/>
        </w:rPr>
        <w:t>对应优化效益费</w:t>
      </w:r>
      <w:bookmarkEnd w:id="7"/>
      <w:r>
        <w:rPr>
          <w:rFonts w:hint="eastAsia" w:ascii="宋体" w:hAnsi="宋体" w:eastAsia="宋体" w:cs="Times New Roman"/>
          <w:bCs/>
          <w:sz w:val="24"/>
        </w:rPr>
        <w:t>部分：</w:t>
      </w:r>
    </w:p>
    <w:p w14:paraId="00BB5E1E">
      <w:pPr>
        <w:adjustRightInd w:val="0"/>
        <w:snapToGrid w:val="0"/>
        <w:spacing w:line="360" w:lineRule="auto"/>
        <w:ind w:firstLine="480" w:firstLineChars="200"/>
        <w:rPr>
          <w:rFonts w:hint="eastAsia" w:ascii="宋体" w:hAnsi="宋体" w:eastAsia="宋体" w:cs="Times New Roman"/>
          <w:bCs/>
          <w:sz w:val="24"/>
          <w:szCs w:val="24"/>
          <w:highlight w:val="none"/>
          <w:lang w:val="zh-CN"/>
        </w:rPr>
      </w:pPr>
      <w:r>
        <w:rPr>
          <w:rFonts w:hint="eastAsia" w:ascii="宋体" w:hAnsi="宋体" w:eastAsia="宋体" w:cs="Times New Roman"/>
          <w:bCs/>
          <w:sz w:val="24"/>
          <w:szCs w:val="24"/>
          <w:highlight w:val="none"/>
          <w:lang w:val="zh-CN"/>
        </w:rPr>
        <w:t>（1）乙方提交经甲方确认的《方案设计咨询报告》，如果乙方在方案设计后介入，乙方需提供经甲方确认的《方案设计评估报告》，并配合完成项目方案报审，取得方案批复后（如有），甲方支付全阶段设计咨询费固定部分的20%；</w:t>
      </w:r>
    </w:p>
    <w:p w14:paraId="2F1650F5">
      <w:pPr>
        <w:adjustRightInd w:val="0"/>
        <w:snapToGrid w:val="0"/>
        <w:spacing w:line="360" w:lineRule="auto"/>
        <w:ind w:firstLine="480" w:firstLineChars="200"/>
        <w:rPr>
          <w:rFonts w:hint="eastAsia" w:ascii="宋体" w:hAnsi="宋体" w:eastAsia="宋体" w:cs="Times New Roman"/>
          <w:bCs/>
          <w:sz w:val="24"/>
          <w:szCs w:val="24"/>
          <w:highlight w:val="none"/>
          <w:lang w:val="zh-CN"/>
        </w:rPr>
      </w:pPr>
      <w:r>
        <w:rPr>
          <w:rFonts w:hint="eastAsia" w:ascii="宋体" w:hAnsi="宋体" w:eastAsia="宋体" w:cs="Times New Roman"/>
          <w:bCs/>
          <w:sz w:val="24"/>
          <w:szCs w:val="24"/>
          <w:highlight w:val="none"/>
          <w:lang w:val="zh-CN"/>
        </w:rPr>
        <w:t>（2）乙方完成施工图审查；乙方提交经甲方确认的除景观、装修以外的《施工图设计咨询报告》、《审查合格书》，并配合完成项目工规批复，取得工规证后，甲方支付全阶段设计咨询费固定部分的20%；</w:t>
      </w:r>
    </w:p>
    <w:p w14:paraId="062C995B">
      <w:pPr>
        <w:adjustRightInd w:val="0"/>
        <w:snapToGrid w:val="0"/>
        <w:spacing w:line="360" w:lineRule="auto"/>
        <w:ind w:firstLine="480" w:firstLineChars="200"/>
        <w:rPr>
          <w:rFonts w:hint="eastAsia" w:ascii="宋体" w:hAnsi="宋体" w:eastAsia="宋体" w:cs="Times New Roman"/>
          <w:bCs/>
          <w:sz w:val="24"/>
          <w:szCs w:val="24"/>
          <w:highlight w:val="none"/>
          <w:lang w:val="zh-CN"/>
        </w:rPr>
      </w:pPr>
      <w:r>
        <w:rPr>
          <w:rFonts w:hint="eastAsia" w:ascii="宋体" w:hAnsi="宋体" w:eastAsia="宋体" w:cs="Times New Roman"/>
          <w:bCs/>
          <w:sz w:val="24"/>
          <w:szCs w:val="24"/>
          <w:highlight w:val="none"/>
          <w:lang w:val="zh-CN"/>
        </w:rPr>
        <w:t>（3）</w:t>
      </w:r>
      <w:bookmarkStart w:id="8" w:name="_Hlk211252008"/>
      <w:r>
        <w:rPr>
          <w:rFonts w:hint="eastAsia" w:ascii="宋体" w:hAnsi="宋体" w:eastAsia="宋体" w:cs="Times New Roman"/>
          <w:bCs/>
          <w:sz w:val="24"/>
          <w:szCs w:val="24"/>
          <w:highlight w:val="none"/>
          <w:lang w:val="zh-CN"/>
        </w:rPr>
        <w:t>乙方</w:t>
      </w:r>
      <w:bookmarkEnd w:id="8"/>
      <w:r>
        <w:rPr>
          <w:rFonts w:hint="eastAsia" w:ascii="宋体" w:hAnsi="宋体" w:eastAsia="宋体" w:cs="Times New Roman"/>
          <w:bCs/>
          <w:sz w:val="24"/>
          <w:szCs w:val="24"/>
          <w:highlight w:val="none"/>
          <w:lang w:val="zh-CN"/>
        </w:rPr>
        <w:t>提交经甲方确认的除景观、装修以外的《设计文件优化咨询报告》，甲方支付当期实际优化节约提成部分的35%（若须由第三方机构审核的，必须审核通过）；</w:t>
      </w:r>
    </w:p>
    <w:p w14:paraId="7803E892">
      <w:pPr>
        <w:adjustRightInd w:val="0"/>
        <w:snapToGrid w:val="0"/>
        <w:spacing w:line="360" w:lineRule="auto"/>
        <w:ind w:firstLine="480" w:firstLineChars="200"/>
        <w:rPr>
          <w:rFonts w:hint="eastAsia" w:ascii="宋体" w:hAnsi="宋体" w:eastAsia="宋体" w:cs="Times New Roman"/>
          <w:bCs/>
          <w:sz w:val="24"/>
          <w:szCs w:val="24"/>
          <w:highlight w:val="none"/>
          <w:lang w:val="zh-CN"/>
        </w:rPr>
      </w:pPr>
      <w:r>
        <w:rPr>
          <w:rFonts w:hint="eastAsia" w:ascii="宋体" w:hAnsi="宋体" w:eastAsia="宋体" w:cs="Times New Roman"/>
          <w:bCs/>
          <w:sz w:val="24"/>
          <w:szCs w:val="24"/>
          <w:highlight w:val="none"/>
          <w:lang w:val="zh-CN"/>
        </w:rPr>
        <w:t>（4）乙方出具符合审查管理办法并经甲方确认的《景观、装修设计复审意见》，甲方支付全阶段设计咨询费固定部分的20%；</w:t>
      </w:r>
    </w:p>
    <w:p w14:paraId="48FE2D8D">
      <w:pPr>
        <w:adjustRightInd w:val="0"/>
        <w:snapToGrid w:val="0"/>
        <w:spacing w:line="360" w:lineRule="auto"/>
        <w:ind w:firstLine="480" w:firstLineChars="200"/>
        <w:rPr>
          <w:rFonts w:hint="eastAsia" w:ascii="宋体" w:hAnsi="宋体" w:eastAsia="宋体" w:cs="Times New Roman"/>
          <w:bCs/>
          <w:sz w:val="24"/>
          <w:szCs w:val="24"/>
          <w:highlight w:val="none"/>
          <w:lang w:val="zh-CN"/>
        </w:rPr>
      </w:pPr>
      <w:r>
        <w:rPr>
          <w:rFonts w:hint="eastAsia" w:ascii="宋体" w:hAnsi="宋体" w:eastAsia="宋体" w:cs="Times New Roman"/>
          <w:bCs/>
          <w:sz w:val="24"/>
          <w:szCs w:val="24"/>
          <w:highlight w:val="none"/>
          <w:lang w:val="zh-CN"/>
        </w:rPr>
        <w:t>（5）乙方出具符合审查管理办法并经甲方确认的《幕墙等深化设计、绿建节能的施工图咨询报告》，甲方支付全阶段设计咨询费固定部分的20%；</w:t>
      </w:r>
    </w:p>
    <w:p w14:paraId="5A2649DF">
      <w:pPr>
        <w:adjustRightInd w:val="0"/>
        <w:snapToGrid w:val="0"/>
        <w:spacing w:line="360" w:lineRule="auto"/>
        <w:ind w:firstLine="480" w:firstLineChars="200"/>
        <w:rPr>
          <w:rFonts w:hint="eastAsia" w:ascii="宋体" w:hAnsi="宋体" w:eastAsia="宋体" w:cs="Times New Roman"/>
          <w:bCs/>
          <w:sz w:val="24"/>
          <w:szCs w:val="24"/>
          <w:highlight w:val="none"/>
          <w:lang w:val="zh-CN"/>
        </w:rPr>
      </w:pPr>
      <w:r>
        <w:rPr>
          <w:rFonts w:hint="eastAsia" w:ascii="宋体" w:hAnsi="宋体" w:eastAsia="宋体" w:cs="Times New Roman"/>
          <w:bCs/>
          <w:sz w:val="24"/>
          <w:szCs w:val="24"/>
          <w:highlight w:val="none"/>
          <w:lang w:val="zh-CN"/>
        </w:rPr>
        <w:t>（6）乙方出具符合审查管理办法并经甲方确认的《二次深化设计复审意见》，甲方支付实际累计优化节约提成部分的35%（若须由第三方机构审核的，必须审核通过）；</w:t>
      </w:r>
    </w:p>
    <w:p w14:paraId="6DC0E273">
      <w:pPr>
        <w:adjustRightInd w:val="0"/>
        <w:snapToGrid w:val="0"/>
        <w:spacing w:line="360" w:lineRule="auto"/>
        <w:ind w:firstLine="480" w:firstLineChars="200"/>
        <w:rPr>
          <w:rFonts w:hint="eastAsia" w:ascii="宋体" w:hAnsi="宋体" w:eastAsia="宋体" w:cs="Times New Roman"/>
          <w:bCs/>
          <w:sz w:val="24"/>
          <w:szCs w:val="24"/>
        </w:rPr>
      </w:pPr>
      <w:r>
        <w:rPr>
          <w:rFonts w:hint="eastAsia" w:ascii="宋体" w:hAnsi="宋体" w:eastAsia="宋体" w:cs="Times New Roman"/>
          <w:bCs/>
          <w:sz w:val="24"/>
          <w:szCs w:val="24"/>
          <w:highlight w:val="none"/>
          <w:lang w:val="zh-CN"/>
        </w:rPr>
        <w:t>（7）项目竣工验收后，乙方出具最终的《设计文件优化咨询报告》并结算完成以后，甲方应一次性付清余款。</w:t>
      </w:r>
    </w:p>
    <w:p w14:paraId="1BBC5502">
      <w:pPr>
        <w:overflowPunct w:val="0"/>
        <w:adjustRightInd w:val="0"/>
        <w:snapToGrid w:val="0"/>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为保证各个阶段优化工作的开展及落地，本项目要求除景观、装修以外的《</w:t>
      </w:r>
      <w:r>
        <w:rPr>
          <w:rFonts w:hint="eastAsia" w:ascii="宋体" w:hAnsi="宋体" w:eastAsia="宋体" w:cs="Times New Roman"/>
          <w:sz w:val="24"/>
          <w:szCs w:val="24"/>
          <w:lang w:eastAsia="zh-CN"/>
        </w:rPr>
        <w:t>设计文件优化咨询报告</w:t>
      </w:r>
      <w:r>
        <w:rPr>
          <w:rFonts w:hint="eastAsia" w:ascii="宋体" w:hAnsi="宋体" w:eastAsia="宋体" w:cs="Times New Roman"/>
          <w:sz w:val="24"/>
          <w:szCs w:val="24"/>
        </w:rPr>
        <w:t>》在主体施工图正式下发之前完成，《专项设计深化报告》在景观、装修施工图下发之前完成，否则不予支付相应阶段固定咨询费。</w:t>
      </w:r>
    </w:p>
    <w:p w14:paraId="2315F1B0">
      <w:pPr>
        <w:overflowPunct w:val="0"/>
        <w:adjustRightInd w:val="0"/>
        <w:snapToGrid w:val="0"/>
        <w:spacing w:line="360" w:lineRule="auto"/>
        <w:ind w:firstLine="480" w:firstLineChars="200"/>
        <w:rPr>
          <w:rFonts w:hint="eastAsia" w:ascii="宋体" w:hAnsi="宋体" w:eastAsia="宋体"/>
          <w:sz w:val="24"/>
          <w:szCs w:val="24"/>
        </w:rPr>
      </w:pPr>
      <w:r>
        <w:rPr>
          <w:rFonts w:hint="eastAsia" w:ascii="宋体" w:hAnsi="宋体" w:eastAsia="宋体" w:cs="Times New Roman"/>
          <w:sz w:val="24"/>
          <w:szCs w:val="24"/>
        </w:rPr>
        <w:t>委托人建立履约评价考核制度（详见附件3），受托人须无条件接受委托人考评。</w:t>
      </w:r>
    </w:p>
    <w:p w14:paraId="1BE5BD1D">
      <w:pPr>
        <w:overflowPunct w:val="0"/>
        <w:adjustRightInd w:val="0"/>
        <w:snapToGrid w:val="0"/>
        <w:spacing w:line="360" w:lineRule="auto"/>
        <w:ind w:firstLine="480" w:firstLineChars="200"/>
        <w:rPr>
          <w:rFonts w:hint="eastAsia" w:ascii="宋体" w:hAnsi="宋体" w:eastAsia="宋体"/>
          <w:sz w:val="24"/>
          <w:szCs w:val="24"/>
        </w:rPr>
      </w:pPr>
      <w:r>
        <w:rPr>
          <w:rFonts w:hint="eastAsia" w:ascii="宋体" w:hAnsi="宋体" w:eastAsia="宋体" w:cs="Times New Roman"/>
          <w:sz w:val="24"/>
          <w:szCs w:val="24"/>
        </w:rPr>
        <w:t>每次付款前，应由受托人提交该阶段的付款申请，并且提交支付等额的合格增值税专用发票。委托人收到受托人开具的等额增值税专用发票并通过审核后，合同款项的支付按照委托人方支付程序支付。</w:t>
      </w:r>
    </w:p>
    <w:p w14:paraId="5794C2A6">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受托人保证其提供的银行账号真实、合法、有效，发包人向受托人指定的银行账号转入款项后即视为发包人履行完毕付款义务，合同支付方式包括但不限于银行转账、银行承兑汇票、商业承兑汇票等形式。若发包人以银行承兑汇票、商业承兑汇票等票据形式（票据期限不超过三个月）向受托人支付进度款时，因票据贴现产生的利息，由受托人承担。受托人开户银行、账号等如有变更，应在当期进度款申请时同步以书面方式通知发包人。如受托人未按合同约定及时通知发包人，由此导致的不利后果及损失均由受托人承担，给发包人造成经济损失的需予以赔偿。</w:t>
      </w:r>
    </w:p>
    <w:p w14:paraId="00FC2E3B">
      <w:pPr>
        <w:adjustRightInd w:val="0"/>
        <w:snapToGrid w:val="0"/>
        <w:spacing w:line="360" w:lineRule="auto"/>
        <w:ind w:firstLine="482" w:firstLineChars="200"/>
        <w:jc w:val="left"/>
        <w:rPr>
          <w:rFonts w:hint="eastAsia" w:ascii="宋体" w:hAnsi="宋体" w:eastAsia="宋体" w:cs="Times New Roman"/>
          <w:b/>
          <w:sz w:val="24"/>
          <w:szCs w:val="24"/>
        </w:rPr>
      </w:pPr>
      <w:r>
        <w:rPr>
          <w:rFonts w:hint="eastAsia" w:ascii="宋体" w:hAnsi="宋体" w:eastAsia="宋体" w:cs="Times New Roman"/>
          <w:b/>
          <w:sz w:val="24"/>
          <w:szCs w:val="24"/>
        </w:rPr>
        <w:t>11、变更</w:t>
      </w:r>
    </w:p>
    <w:p w14:paraId="65862B54">
      <w:pPr>
        <w:adjustRightInd w:val="0"/>
        <w:snapToGrid w:val="0"/>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新增如下约定：</w:t>
      </w:r>
    </w:p>
    <w:p w14:paraId="67392190">
      <w:pPr>
        <w:adjustRightInd w:val="0"/>
        <w:snapToGrid w:val="0"/>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11.10更换服务单位时的合同费扣除办法</w:t>
      </w:r>
    </w:p>
    <w:p w14:paraId="15C973C5">
      <w:pPr>
        <w:adjustRightInd w:val="0"/>
        <w:snapToGrid w:val="0"/>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按照合同约定受托人不能胜任某一项目（包括工点、系统或其中一部分）的设计咨询服务工作，经委托人要求两次以上整改仍不能改善或改善不能满足合同要求，委托人有权要求受托人更换该部分咨询工作的分包服务单位，同时委托人有权扣除该部分咨询工作的部分费用；如委托人不能继续胜任该项工作时，委托人有权另行确定</w:t>
      </w:r>
      <w:r>
        <w:rPr>
          <w:rFonts w:ascii="宋体" w:hAnsi="宋体" w:eastAsia="宋体" w:cs="Times New Roman"/>
          <w:bCs/>
          <w:sz w:val="24"/>
          <w:szCs w:val="24"/>
        </w:rPr>
        <w:t>分包服务单位</w:t>
      </w:r>
      <w:r>
        <w:rPr>
          <w:rFonts w:hint="eastAsia" w:ascii="宋体" w:hAnsi="宋体" w:eastAsia="宋体" w:cs="Times New Roman"/>
          <w:bCs/>
          <w:sz w:val="24"/>
          <w:szCs w:val="24"/>
        </w:rPr>
        <w:t>，并按照合同中取费标准的</w:t>
      </w:r>
      <w:r>
        <w:rPr>
          <w:rFonts w:ascii="宋体" w:hAnsi="宋体" w:eastAsia="宋体" w:cs="Times New Roman"/>
          <w:bCs/>
          <w:sz w:val="24"/>
          <w:szCs w:val="24"/>
        </w:rPr>
        <w:t>2倍从受托人的合同中扣除该</w:t>
      </w:r>
      <w:r>
        <w:rPr>
          <w:rFonts w:hint="eastAsia" w:ascii="宋体" w:hAnsi="宋体" w:eastAsia="宋体" w:cs="Times New Roman"/>
          <w:bCs/>
          <w:sz w:val="24"/>
          <w:szCs w:val="24"/>
        </w:rPr>
        <w:t>工作</w:t>
      </w:r>
      <w:r>
        <w:rPr>
          <w:rFonts w:ascii="宋体" w:hAnsi="宋体" w:eastAsia="宋体" w:cs="Times New Roman"/>
          <w:bCs/>
          <w:sz w:val="24"/>
          <w:szCs w:val="24"/>
        </w:rPr>
        <w:t>的合同费，同时并不免除受托人的责任。</w:t>
      </w:r>
    </w:p>
    <w:p w14:paraId="6C6B19F7">
      <w:pPr>
        <w:adjustRightInd w:val="0"/>
        <w:snapToGrid w:val="0"/>
        <w:spacing w:line="360" w:lineRule="auto"/>
        <w:ind w:firstLine="480" w:firstLineChars="200"/>
        <w:jc w:val="left"/>
        <w:rPr>
          <w:rFonts w:hint="eastAsia" w:ascii="宋体" w:hAnsi="宋体" w:eastAsia="宋体" w:cs="Times New Roman"/>
          <w:bCs/>
          <w:sz w:val="24"/>
          <w:szCs w:val="24"/>
        </w:rPr>
      </w:pPr>
      <w:r>
        <w:rPr>
          <w:rFonts w:ascii="宋体" w:hAnsi="宋体" w:eastAsia="宋体" w:cs="Times New Roman"/>
          <w:bCs/>
          <w:sz w:val="24"/>
          <w:szCs w:val="24"/>
        </w:rPr>
        <w:t>11.1</w:t>
      </w:r>
      <w:r>
        <w:rPr>
          <w:rFonts w:hint="eastAsia" w:ascii="宋体" w:hAnsi="宋体" w:eastAsia="宋体" w:cs="Times New Roman"/>
          <w:bCs/>
          <w:sz w:val="24"/>
          <w:szCs w:val="24"/>
        </w:rPr>
        <w:t>1</w:t>
      </w:r>
      <w:r>
        <w:rPr>
          <w:rFonts w:ascii="宋体" w:hAnsi="宋体" w:eastAsia="宋体" w:cs="Times New Roman"/>
          <w:bCs/>
          <w:sz w:val="24"/>
          <w:szCs w:val="24"/>
        </w:rPr>
        <w:t>重复工作费用的计取</w:t>
      </w:r>
    </w:p>
    <w:p w14:paraId="63D00AEB">
      <w:pPr>
        <w:adjustRightInd w:val="0"/>
        <w:snapToGrid w:val="0"/>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受托人根据委托人要求完成设计咨询服务报告并提交委托人及设计单位后，因委托人原因导致设计文件发生重大变化，需受托人重新进行设计咨询服务的，受托人已出具设计咨询服务报告的部分按实际建筑面积和本合同单价计取审查费用，重新进行设计咨询服务部分的费用根据工作量的大小双方协商确定。对于受托人未出具审图报告而因委托人原因导致图纸精细化变化重新提交图纸精细化供受托人审查的，或因受托人原因导致重新进行设计咨询服务的，受托人应免费进行审查，不增加审查费用。</w:t>
      </w:r>
    </w:p>
    <w:p w14:paraId="3F3FD2AE">
      <w:pPr>
        <w:autoSpaceDE w:val="0"/>
        <w:autoSpaceDN w:val="0"/>
        <w:adjustRightInd w:val="0"/>
        <w:snapToGrid w:val="0"/>
        <w:spacing w:line="360" w:lineRule="auto"/>
        <w:ind w:left="482"/>
        <w:jc w:val="left"/>
        <w:rPr>
          <w:rFonts w:hint="eastAsia" w:ascii="宋体" w:hAnsi="宋体" w:eastAsia="宋体" w:cs="Times New Roman"/>
          <w:b/>
          <w:sz w:val="24"/>
          <w:szCs w:val="24"/>
        </w:rPr>
      </w:pPr>
      <w:r>
        <w:rPr>
          <w:rFonts w:hint="eastAsia" w:ascii="宋体" w:hAnsi="宋体" w:eastAsia="宋体" w:cs="Times New Roman"/>
          <w:b/>
          <w:sz w:val="24"/>
          <w:szCs w:val="24"/>
        </w:rPr>
        <w:t>13</w:t>
      </w:r>
      <w:r>
        <w:rPr>
          <w:rFonts w:ascii="宋体" w:hAnsi="宋体" w:eastAsia="宋体" w:cs="Times New Roman"/>
          <w:b/>
          <w:sz w:val="24"/>
          <w:szCs w:val="24"/>
        </w:rPr>
        <w:t>、转让与分包</w:t>
      </w:r>
    </w:p>
    <w:p w14:paraId="0E8239FA">
      <w:pPr>
        <w:adjustRightInd w:val="0"/>
        <w:snapToGrid w:val="0"/>
        <w:spacing w:line="360" w:lineRule="auto"/>
        <w:ind w:firstLine="480" w:firstLineChars="200"/>
        <w:jc w:val="left"/>
        <w:rPr>
          <w:rFonts w:hint="eastAsia" w:ascii="宋体" w:hAnsi="宋体" w:eastAsia="宋体" w:cs="Times New Roman"/>
          <w:bCs/>
          <w:sz w:val="24"/>
          <w:szCs w:val="24"/>
        </w:rPr>
      </w:pPr>
      <w:r>
        <w:rPr>
          <w:rFonts w:ascii="宋体" w:hAnsi="宋体" w:eastAsia="宋体" w:cs="Times New Roman"/>
          <w:bCs/>
          <w:sz w:val="24"/>
          <w:szCs w:val="24"/>
        </w:rPr>
        <w:t>通用条款第</w:t>
      </w:r>
      <w:r>
        <w:rPr>
          <w:rFonts w:hint="eastAsia" w:ascii="宋体" w:hAnsi="宋体" w:eastAsia="宋体" w:cs="Times New Roman"/>
          <w:bCs/>
          <w:sz w:val="24"/>
          <w:szCs w:val="24"/>
        </w:rPr>
        <w:t>13条第</w:t>
      </w:r>
      <w:r>
        <w:rPr>
          <w:rFonts w:ascii="宋体" w:hAnsi="宋体" w:eastAsia="宋体" w:cs="Times New Roman"/>
          <w:bCs/>
          <w:sz w:val="24"/>
          <w:szCs w:val="24"/>
        </w:rPr>
        <w:t>13.2</w:t>
      </w:r>
      <w:r>
        <w:rPr>
          <w:rFonts w:hint="eastAsia" w:ascii="宋体" w:hAnsi="宋体" w:eastAsia="宋体" w:cs="Times New Roman"/>
          <w:bCs/>
          <w:sz w:val="24"/>
          <w:szCs w:val="24"/>
        </w:rPr>
        <w:t>款</w:t>
      </w:r>
      <w:r>
        <w:rPr>
          <w:rFonts w:ascii="宋体" w:hAnsi="宋体" w:eastAsia="宋体" w:cs="Times New Roman"/>
          <w:bCs/>
          <w:sz w:val="24"/>
          <w:szCs w:val="24"/>
        </w:rPr>
        <w:t>、</w:t>
      </w:r>
      <w:r>
        <w:rPr>
          <w:rFonts w:hint="eastAsia" w:ascii="宋体" w:hAnsi="宋体" w:eastAsia="宋体" w:cs="Times New Roman"/>
          <w:bCs/>
          <w:sz w:val="24"/>
          <w:szCs w:val="24"/>
        </w:rPr>
        <w:t>第</w:t>
      </w:r>
      <w:r>
        <w:rPr>
          <w:rFonts w:ascii="宋体" w:hAnsi="宋体" w:eastAsia="宋体" w:cs="Times New Roman"/>
          <w:bCs/>
          <w:sz w:val="24"/>
          <w:szCs w:val="24"/>
        </w:rPr>
        <w:t>13.3款</w:t>
      </w:r>
      <w:r>
        <w:rPr>
          <w:rFonts w:hint="eastAsia" w:ascii="宋体" w:hAnsi="宋体" w:eastAsia="宋体" w:cs="Times New Roman"/>
          <w:bCs/>
          <w:sz w:val="24"/>
          <w:szCs w:val="24"/>
        </w:rPr>
        <w:t>修改为：</w:t>
      </w:r>
      <w:r>
        <w:rPr>
          <w:rFonts w:ascii="宋体" w:hAnsi="宋体" w:eastAsia="宋体" w:cs="Times New Roman"/>
          <w:bCs/>
          <w:sz w:val="24"/>
          <w:szCs w:val="24"/>
        </w:rPr>
        <w:t>本项目不允许转让</w:t>
      </w:r>
    </w:p>
    <w:p w14:paraId="34F6DA5A">
      <w:pPr>
        <w:autoSpaceDE w:val="0"/>
        <w:autoSpaceDN w:val="0"/>
        <w:adjustRightInd w:val="0"/>
        <w:snapToGrid w:val="0"/>
        <w:spacing w:line="360" w:lineRule="auto"/>
        <w:ind w:firstLine="480" w:firstLineChars="200"/>
        <w:jc w:val="left"/>
        <w:rPr>
          <w:rFonts w:hint="eastAsia" w:ascii="宋体" w:hAnsi="宋体" w:eastAsia="宋体" w:cs="Times New Roman"/>
          <w:sz w:val="24"/>
          <w:lang w:val="zh-CN"/>
        </w:rPr>
      </w:pPr>
      <w:r>
        <w:rPr>
          <w:rFonts w:ascii="宋体" w:hAnsi="宋体" w:eastAsia="宋体" w:cs="Times New Roman"/>
          <w:sz w:val="24"/>
          <w:lang w:val="zh-CN"/>
        </w:rPr>
        <w:t>13.2</w:t>
      </w:r>
      <w:r>
        <w:rPr>
          <w:rFonts w:hint="eastAsia" w:ascii="宋体" w:hAnsi="宋体" w:eastAsia="宋体" w:cs="Times New Roman"/>
          <w:sz w:val="24"/>
        </w:rPr>
        <w:t>受托人不得将如下禁止分包的工程设计咨询，分包给第三人：</w:t>
      </w:r>
      <w:r>
        <w:rPr>
          <w:rFonts w:ascii="宋体" w:hAnsi="宋体" w:eastAsia="宋体" w:cs="Times New Roman"/>
          <w:sz w:val="24"/>
          <w:u w:val="single"/>
        </w:rPr>
        <w:t>/</w:t>
      </w:r>
      <w:r>
        <w:rPr>
          <w:rFonts w:hint="eastAsia" w:ascii="宋体" w:hAnsi="宋体" w:eastAsia="宋体" w:cs="Times New Roman"/>
          <w:sz w:val="24"/>
        </w:rPr>
        <w:t>。工程主体结构设计咨询等关键性工作的范围为：</w:t>
      </w:r>
      <w:r>
        <w:rPr>
          <w:rFonts w:ascii="宋体" w:hAnsi="宋体" w:eastAsia="宋体" w:cs="Times New Roman"/>
          <w:sz w:val="24"/>
          <w:u w:val="single"/>
        </w:rPr>
        <w:t>/</w:t>
      </w:r>
      <w:r>
        <w:rPr>
          <w:rFonts w:hint="eastAsia" w:ascii="宋体" w:hAnsi="宋体" w:eastAsia="宋体" w:cs="Times New Roman"/>
          <w:sz w:val="24"/>
        </w:rPr>
        <w:t>。</w:t>
      </w:r>
    </w:p>
    <w:p w14:paraId="7D2380D0">
      <w:pPr>
        <w:autoSpaceDE w:val="0"/>
        <w:autoSpaceDN w:val="0"/>
        <w:adjustRightInd w:val="0"/>
        <w:snapToGrid w:val="0"/>
        <w:spacing w:line="360" w:lineRule="auto"/>
        <w:ind w:firstLine="480" w:firstLineChars="200"/>
        <w:jc w:val="left"/>
        <w:rPr>
          <w:rFonts w:hint="eastAsia" w:ascii="宋体" w:hAnsi="宋体" w:eastAsia="宋体" w:cs="Times New Roman"/>
          <w:sz w:val="24"/>
        </w:rPr>
      </w:pPr>
      <w:r>
        <w:rPr>
          <w:rFonts w:ascii="宋体" w:hAnsi="宋体" w:eastAsia="宋体" w:cs="Times New Roman"/>
          <w:sz w:val="24"/>
          <w:lang w:val="zh-CN"/>
        </w:rPr>
        <w:t>13.3</w:t>
      </w:r>
      <w:r>
        <w:rPr>
          <w:rFonts w:hint="eastAsia" w:ascii="宋体" w:hAnsi="宋体" w:eastAsia="宋体" w:cs="Times New Roman"/>
          <w:sz w:val="24"/>
        </w:rPr>
        <w:t>受托人</w:t>
      </w:r>
      <w:r>
        <w:rPr>
          <w:rFonts w:ascii="宋体" w:hAnsi="宋体" w:eastAsia="宋体" w:cs="Times New Roman"/>
          <w:sz w:val="24"/>
        </w:rPr>
        <w:t>[ ]可以[ ]不可以[ ]不经过[√]经过</w:t>
      </w:r>
      <w:r>
        <w:rPr>
          <w:rFonts w:hint="eastAsia" w:ascii="宋体" w:hAnsi="宋体" w:eastAsia="宋体" w:cs="Times New Roman"/>
          <w:sz w:val="24"/>
        </w:rPr>
        <w:t>委托人书面同意后进行分包，确定分包人。本合同另有约定的除外。</w:t>
      </w:r>
    </w:p>
    <w:p w14:paraId="5611AEC3">
      <w:pPr>
        <w:autoSpaceDE w:val="0"/>
        <w:autoSpaceDN w:val="0"/>
        <w:adjustRightInd w:val="0"/>
        <w:snapToGrid w:val="0"/>
        <w:spacing w:line="360" w:lineRule="auto"/>
        <w:ind w:firstLine="480" w:firstLineChars="200"/>
        <w:jc w:val="left"/>
        <w:rPr>
          <w:rFonts w:hint="eastAsia" w:ascii="宋体" w:hAnsi="宋体" w:eastAsia="宋体" w:cs="Times New Roman"/>
          <w:sz w:val="24"/>
        </w:rPr>
      </w:pPr>
      <w:r>
        <w:rPr>
          <w:rFonts w:hint="eastAsia" w:ascii="宋体" w:hAnsi="宋体" w:eastAsia="宋体" w:cs="Times New Roman"/>
          <w:bCs/>
          <w:sz w:val="24"/>
        </w:rPr>
        <w:t>受托人将设计咨询任务转包，或者未经委托人书面同意私自分包的</w:t>
      </w:r>
      <w:r>
        <w:rPr>
          <w:rFonts w:hint="eastAsia" w:ascii="宋体" w:hAnsi="宋体" w:eastAsia="宋体" w:cs="Times New Roman"/>
          <w:sz w:val="24"/>
        </w:rPr>
        <w:t>，应承担违约责任：</w:t>
      </w:r>
    </w:p>
    <w:p w14:paraId="7F6A4AC6">
      <w:pPr>
        <w:autoSpaceDE w:val="0"/>
        <w:autoSpaceDN w:val="0"/>
        <w:adjustRightInd w:val="0"/>
        <w:snapToGrid w:val="0"/>
        <w:spacing w:line="360" w:lineRule="auto"/>
        <w:ind w:firstLine="480" w:firstLineChars="200"/>
        <w:jc w:val="left"/>
        <w:rPr>
          <w:rFonts w:hint="eastAsia" w:ascii="宋体" w:hAnsi="宋体" w:eastAsia="宋体" w:cs="Times New Roman"/>
          <w:sz w:val="24"/>
        </w:rPr>
      </w:pPr>
      <w:r>
        <w:rPr>
          <w:rFonts w:hint="eastAsia" w:ascii="宋体" w:hAnsi="宋体" w:eastAsia="宋体" w:cs="Times New Roman"/>
          <w:sz w:val="24"/>
        </w:rPr>
        <w:t>（1）单次扣除违约金</w:t>
      </w:r>
      <w:r>
        <w:rPr>
          <w:rFonts w:hint="eastAsia" w:ascii="宋体" w:hAnsi="宋体" w:eastAsia="宋体" w:cs="Times New Roman"/>
          <w:sz w:val="24"/>
          <w:u w:val="single"/>
        </w:rPr>
        <w:t xml:space="preserve"> 合同价的10% </w:t>
      </w:r>
      <w:r>
        <w:rPr>
          <w:rFonts w:hint="eastAsia" w:ascii="宋体" w:hAnsi="宋体" w:eastAsia="宋体" w:cs="Times New Roman"/>
          <w:sz w:val="24"/>
        </w:rPr>
        <w:t>；</w:t>
      </w:r>
    </w:p>
    <w:p w14:paraId="2BC38943">
      <w:pPr>
        <w:autoSpaceDE w:val="0"/>
        <w:autoSpaceDN w:val="0"/>
        <w:adjustRightInd w:val="0"/>
        <w:snapToGrid w:val="0"/>
        <w:spacing w:line="360" w:lineRule="auto"/>
        <w:ind w:firstLine="480" w:firstLineChars="200"/>
        <w:jc w:val="left"/>
        <w:rPr>
          <w:rFonts w:hint="eastAsia" w:ascii="宋体" w:hAnsi="宋体" w:eastAsia="宋体" w:cs="Times New Roman"/>
          <w:sz w:val="24"/>
          <w:lang w:val="zh-CN"/>
        </w:rPr>
      </w:pPr>
      <w:r>
        <w:rPr>
          <w:rFonts w:hint="eastAsia" w:ascii="宋体" w:hAnsi="宋体" w:eastAsia="宋体" w:cs="Times New Roman"/>
          <w:sz w:val="24"/>
        </w:rPr>
        <w:t>（2）其他：</w:t>
      </w:r>
      <w:r>
        <w:rPr>
          <w:rFonts w:hint="eastAsia" w:ascii="宋体" w:hAnsi="宋体" w:eastAsia="宋体" w:cs="Times New Roman"/>
          <w:bCs/>
          <w:sz w:val="24"/>
          <w:u w:val="single"/>
        </w:rPr>
        <w:t>委托人有权终止合同</w:t>
      </w:r>
      <w:r>
        <w:rPr>
          <w:rFonts w:hint="eastAsia" w:ascii="宋体" w:hAnsi="宋体" w:eastAsia="宋体" w:cs="Times New Roman"/>
          <w:sz w:val="24"/>
        </w:rPr>
        <w:t>。</w:t>
      </w:r>
    </w:p>
    <w:p w14:paraId="0775A895">
      <w:pPr>
        <w:autoSpaceDE w:val="0"/>
        <w:autoSpaceDN w:val="0"/>
        <w:adjustRightInd w:val="0"/>
        <w:snapToGrid w:val="0"/>
        <w:spacing w:line="360" w:lineRule="auto"/>
        <w:ind w:firstLine="480" w:firstLineChars="200"/>
        <w:jc w:val="left"/>
        <w:rPr>
          <w:rFonts w:hint="eastAsia" w:ascii="宋体" w:hAnsi="宋体" w:eastAsia="宋体" w:cs="Times New Roman"/>
          <w:sz w:val="24"/>
        </w:rPr>
      </w:pPr>
      <w:r>
        <w:rPr>
          <w:rFonts w:hint="eastAsia" w:ascii="宋体" w:hAnsi="宋体" w:eastAsia="宋体" w:cs="Times New Roman"/>
          <w:sz w:val="24"/>
        </w:rPr>
        <w:t>13.4合同当事人关于分包人项目负责人和专业负责人的约定：</w:t>
      </w:r>
      <w:r>
        <w:rPr>
          <w:rFonts w:ascii="宋体" w:hAnsi="宋体" w:eastAsia="宋体" w:cs="Times New Roman"/>
          <w:sz w:val="24"/>
          <w:u w:val="single"/>
        </w:rPr>
        <w:t xml:space="preserve">   /    </w:t>
      </w:r>
      <w:r>
        <w:rPr>
          <w:rFonts w:hint="eastAsia" w:ascii="宋体" w:hAnsi="宋体" w:eastAsia="宋体" w:cs="Times New Roman"/>
          <w:sz w:val="24"/>
        </w:rPr>
        <w:t>。</w:t>
      </w:r>
    </w:p>
    <w:p w14:paraId="47D11C6B">
      <w:pPr>
        <w:autoSpaceDE w:val="0"/>
        <w:autoSpaceDN w:val="0"/>
        <w:adjustRightInd w:val="0"/>
        <w:snapToGrid w:val="0"/>
        <w:spacing w:line="360" w:lineRule="auto"/>
        <w:ind w:left="482"/>
        <w:jc w:val="left"/>
        <w:rPr>
          <w:rFonts w:hint="eastAsia" w:ascii="宋体" w:hAnsi="宋体" w:eastAsia="宋体" w:cs="Times New Roman"/>
          <w:b/>
          <w:sz w:val="24"/>
          <w:szCs w:val="24"/>
        </w:rPr>
      </w:pPr>
      <w:r>
        <w:rPr>
          <w:rFonts w:hint="eastAsia" w:ascii="宋体" w:hAnsi="宋体" w:eastAsia="宋体" w:cs="Times New Roman"/>
          <w:b/>
          <w:sz w:val="24"/>
          <w:szCs w:val="24"/>
        </w:rPr>
        <w:t>19</w:t>
      </w:r>
      <w:r>
        <w:rPr>
          <w:rFonts w:ascii="宋体" w:hAnsi="宋体" w:eastAsia="宋体" w:cs="Times New Roman"/>
          <w:b/>
          <w:sz w:val="24"/>
          <w:szCs w:val="24"/>
        </w:rPr>
        <w:t>、</w:t>
      </w:r>
      <w:r>
        <w:rPr>
          <w:rFonts w:hint="eastAsia" w:ascii="宋体" w:hAnsi="宋体" w:eastAsia="宋体" w:cs="Times New Roman"/>
          <w:b/>
          <w:sz w:val="24"/>
          <w:szCs w:val="24"/>
        </w:rPr>
        <w:t>合同</w:t>
      </w:r>
      <w:r>
        <w:rPr>
          <w:rFonts w:ascii="宋体" w:hAnsi="宋体" w:eastAsia="宋体" w:cs="Times New Roman"/>
          <w:b/>
          <w:sz w:val="24"/>
          <w:szCs w:val="24"/>
        </w:rPr>
        <w:t>双方的权利和义务</w:t>
      </w:r>
    </w:p>
    <w:p w14:paraId="3C3C08DE">
      <w:pPr>
        <w:adjustRightInd w:val="0"/>
        <w:snapToGrid w:val="0"/>
        <w:spacing w:line="360" w:lineRule="auto"/>
        <w:ind w:left="480"/>
        <w:jc w:val="left"/>
        <w:rPr>
          <w:rFonts w:hint="eastAsia" w:ascii="宋体" w:hAnsi="宋体" w:eastAsia="宋体" w:cs="Times New Roman"/>
          <w:bCs/>
          <w:sz w:val="24"/>
          <w:szCs w:val="24"/>
        </w:rPr>
      </w:pPr>
      <w:r>
        <w:rPr>
          <w:rFonts w:hint="eastAsia" w:ascii="宋体" w:hAnsi="宋体" w:eastAsia="宋体" w:cs="Times New Roman"/>
          <w:bCs/>
          <w:sz w:val="24"/>
          <w:szCs w:val="24"/>
        </w:rPr>
        <w:t>新增如下约定：</w:t>
      </w:r>
    </w:p>
    <w:p w14:paraId="662CF7E0">
      <w:pPr>
        <w:adjustRightInd w:val="0"/>
        <w:snapToGrid w:val="0"/>
        <w:spacing w:line="360" w:lineRule="auto"/>
        <w:ind w:left="480"/>
        <w:jc w:val="left"/>
        <w:rPr>
          <w:rFonts w:hint="eastAsia" w:ascii="宋体" w:hAnsi="宋体" w:eastAsia="宋体" w:cs="Times New Roman"/>
          <w:bCs/>
          <w:sz w:val="24"/>
          <w:szCs w:val="24"/>
        </w:rPr>
      </w:pPr>
      <w:r>
        <w:rPr>
          <w:rFonts w:ascii="宋体" w:hAnsi="宋体" w:eastAsia="宋体" w:cs="Times New Roman"/>
          <w:bCs/>
          <w:sz w:val="24"/>
          <w:szCs w:val="24"/>
        </w:rPr>
        <w:t xml:space="preserve">19.1.5 </w:t>
      </w:r>
      <w:r>
        <w:rPr>
          <w:rFonts w:hint="eastAsia" w:ascii="宋体" w:hAnsi="宋体" w:eastAsia="宋体" w:cs="Times New Roman"/>
          <w:bCs/>
          <w:sz w:val="24"/>
          <w:szCs w:val="24"/>
        </w:rPr>
        <w:t>委托人</w:t>
      </w:r>
      <w:r>
        <w:rPr>
          <w:rFonts w:ascii="宋体" w:hAnsi="宋体" w:eastAsia="宋体" w:cs="Times New Roman"/>
          <w:bCs/>
          <w:sz w:val="24"/>
          <w:szCs w:val="24"/>
        </w:rPr>
        <w:t>的权利和义务</w:t>
      </w:r>
    </w:p>
    <w:p w14:paraId="662E344C">
      <w:pPr>
        <w:tabs>
          <w:tab w:val="left" w:pos="851"/>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rPr>
        <w:t>（</w:t>
      </w:r>
      <w:r>
        <w:rPr>
          <w:rFonts w:ascii="宋体" w:hAnsi="宋体" w:eastAsia="宋体" w:cs="Times New Roman"/>
          <w:bCs/>
          <w:sz w:val="24"/>
        </w:rPr>
        <w:t>1）检查</w:t>
      </w:r>
      <w:r>
        <w:rPr>
          <w:rFonts w:hint="eastAsia" w:ascii="宋体" w:hAnsi="宋体" w:eastAsia="宋体" w:cs="Times New Roman"/>
          <w:bCs/>
          <w:sz w:val="24"/>
        </w:rPr>
        <w:t>受托人</w:t>
      </w:r>
      <w:r>
        <w:rPr>
          <w:rFonts w:ascii="宋体" w:hAnsi="宋体" w:eastAsia="宋体" w:cs="Times New Roman"/>
          <w:bCs/>
          <w:sz w:val="24"/>
        </w:rPr>
        <w:t>职责的执行情况，确保</w:t>
      </w:r>
      <w:r>
        <w:rPr>
          <w:rFonts w:hint="eastAsia" w:ascii="宋体" w:hAnsi="宋体" w:eastAsia="宋体" w:cs="Times New Roman"/>
          <w:bCs/>
          <w:sz w:val="24"/>
        </w:rPr>
        <w:t>设计咨询服务</w:t>
      </w:r>
      <w:r>
        <w:rPr>
          <w:rFonts w:ascii="宋体" w:hAnsi="宋体" w:eastAsia="宋体" w:cs="Times New Roman"/>
          <w:bCs/>
          <w:sz w:val="24"/>
        </w:rPr>
        <w:t>工作的有序进行，对不能胜任合同职责的，</w:t>
      </w:r>
      <w:r>
        <w:rPr>
          <w:rFonts w:hint="eastAsia" w:ascii="宋体" w:hAnsi="宋体" w:eastAsia="宋体" w:cs="Times New Roman"/>
          <w:bCs/>
          <w:sz w:val="24"/>
        </w:rPr>
        <w:t>委托人</w:t>
      </w:r>
      <w:r>
        <w:rPr>
          <w:rFonts w:ascii="宋体" w:hAnsi="宋体" w:eastAsia="宋体" w:cs="Times New Roman"/>
          <w:bCs/>
          <w:sz w:val="24"/>
        </w:rPr>
        <w:t>有权</w:t>
      </w:r>
      <w:r>
        <w:rPr>
          <w:rFonts w:hint="eastAsia" w:ascii="宋体" w:hAnsi="宋体" w:eastAsia="宋体" w:cs="Times New Roman"/>
          <w:bCs/>
          <w:sz w:val="24"/>
        </w:rPr>
        <w:t>给予受托人违</w:t>
      </w:r>
      <w:r>
        <w:rPr>
          <w:rFonts w:ascii="宋体" w:hAnsi="宋体" w:eastAsia="宋体" w:cs="Times New Roman"/>
          <w:bCs/>
          <w:sz w:val="24"/>
        </w:rPr>
        <w:t>约处理，</w:t>
      </w:r>
      <w:r>
        <w:rPr>
          <w:rFonts w:hint="eastAsia" w:ascii="宋体" w:hAnsi="宋体" w:eastAsia="宋体" w:cs="Times New Roman"/>
          <w:bCs/>
          <w:sz w:val="24"/>
        </w:rPr>
        <w:t>直至</w:t>
      </w:r>
      <w:r>
        <w:rPr>
          <w:rFonts w:ascii="宋体" w:hAnsi="宋体" w:eastAsia="宋体" w:cs="Times New Roman"/>
          <w:bCs/>
          <w:sz w:val="24"/>
        </w:rPr>
        <w:t>解除合同。</w:t>
      </w:r>
    </w:p>
    <w:p w14:paraId="15994558">
      <w:pPr>
        <w:tabs>
          <w:tab w:val="left" w:pos="851"/>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rPr>
        <w:t>（</w:t>
      </w:r>
      <w:r>
        <w:rPr>
          <w:rFonts w:ascii="宋体" w:hAnsi="宋体" w:eastAsia="宋体" w:cs="Times New Roman"/>
          <w:bCs/>
          <w:sz w:val="24"/>
        </w:rPr>
        <w:t>2）检查</w:t>
      </w:r>
      <w:r>
        <w:rPr>
          <w:rFonts w:hint="eastAsia" w:ascii="宋体" w:hAnsi="宋体" w:eastAsia="宋体" w:cs="Times New Roman"/>
          <w:bCs/>
          <w:sz w:val="24"/>
        </w:rPr>
        <w:t>受托人</w:t>
      </w:r>
      <w:r>
        <w:rPr>
          <w:rFonts w:ascii="宋体" w:hAnsi="宋体" w:eastAsia="宋体" w:cs="Times New Roman"/>
          <w:bCs/>
          <w:sz w:val="24"/>
        </w:rPr>
        <w:t>项目组的组成和人员到位情况、人员稳定情况，考核主要技术骨干的工作能力，如因人力、能力不足致使</w:t>
      </w:r>
      <w:r>
        <w:rPr>
          <w:rFonts w:hint="eastAsia" w:ascii="宋体" w:hAnsi="宋体" w:eastAsia="宋体" w:cs="Times New Roman"/>
          <w:bCs/>
          <w:sz w:val="24"/>
        </w:rPr>
        <w:t>设计咨询服务</w:t>
      </w:r>
      <w:r>
        <w:rPr>
          <w:rFonts w:ascii="宋体" w:hAnsi="宋体" w:eastAsia="宋体" w:cs="Times New Roman"/>
          <w:bCs/>
          <w:sz w:val="24"/>
        </w:rPr>
        <w:t>不能按计划完成时，可要求</w:t>
      </w:r>
      <w:r>
        <w:rPr>
          <w:rFonts w:hint="eastAsia" w:ascii="宋体" w:hAnsi="宋体" w:eastAsia="宋体" w:cs="Times New Roman"/>
          <w:bCs/>
          <w:sz w:val="24"/>
        </w:rPr>
        <w:t>受托人</w:t>
      </w:r>
      <w:r>
        <w:rPr>
          <w:rFonts w:ascii="宋体" w:hAnsi="宋体" w:eastAsia="宋体" w:cs="Times New Roman"/>
          <w:bCs/>
          <w:sz w:val="24"/>
        </w:rPr>
        <w:t>增加相应的技术人员，</w:t>
      </w:r>
      <w:r>
        <w:rPr>
          <w:rFonts w:hint="eastAsia" w:ascii="宋体" w:hAnsi="宋体" w:eastAsia="宋体" w:cs="Times New Roman"/>
          <w:bCs/>
          <w:sz w:val="24"/>
        </w:rPr>
        <w:t>受托人</w:t>
      </w:r>
      <w:r>
        <w:rPr>
          <w:rFonts w:ascii="宋体" w:hAnsi="宋体" w:eastAsia="宋体" w:cs="Times New Roman"/>
          <w:bCs/>
          <w:sz w:val="24"/>
        </w:rPr>
        <w:t>不得拒绝。</w:t>
      </w:r>
    </w:p>
    <w:p w14:paraId="3405EC81">
      <w:pPr>
        <w:tabs>
          <w:tab w:val="left" w:pos="851"/>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rPr>
        <w:t>（</w:t>
      </w:r>
      <w:r>
        <w:rPr>
          <w:rFonts w:ascii="宋体" w:hAnsi="宋体" w:eastAsia="宋体" w:cs="Times New Roman"/>
          <w:bCs/>
          <w:sz w:val="24"/>
        </w:rPr>
        <w:t>3）在</w:t>
      </w:r>
      <w:r>
        <w:rPr>
          <w:rFonts w:hint="eastAsia" w:ascii="宋体" w:hAnsi="宋体" w:eastAsia="宋体" w:cs="Times New Roman"/>
          <w:bCs/>
          <w:sz w:val="24"/>
        </w:rPr>
        <w:t>受托人</w:t>
      </w:r>
      <w:r>
        <w:rPr>
          <w:rFonts w:ascii="宋体" w:hAnsi="宋体" w:eastAsia="宋体" w:cs="Times New Roman"/>
          <w:bCs/>
          <w:sz w:val="24"/>
        </w:rPr>
        <w:t>的人员配置、管理能力、</w:t>
      </w:r>
      <w:r>
        <w:rPr>
          <w:rFonts w:hint="eastAsia" w:ascii="宋体" w:hAnsi="宋体" w:eastAsia="宋体" w:cs="Times New Roman"/>
          <w:bCs/>
          <w:sz w:val="24"/>
        </w:rPr>
        <w:t>设计咨询服务</w:t>
      </w:r>
      <w:r>
        <w:rPr>
          <w:rFonts w:ascii="宋体" w:hAnsi="宋体" w:eastAsia="宋体" w:cs="Times New Roman"/>
          <w:bCs/>
          <w:sz w:val="24"/>
        </w:rPr>
        <w:t>质量和进度、工作配合等方面，</w:t>
      </w:r>
      <w:r>
        <w:rPr>
          <w:rFonts w:hint="eastAsia" w:ascii="宋体" w:hAnsi="宋体" w:eastAsia="宋体" w:cs="Times New Roman"/>
          <w:bCs/>
          <w:sz w:val="24"/>
        </w:rPr>
        <w:t>受托人</w:t>
      </w:r>
      <w:r>
        <w:rPr>
          <w:rFonts w:ascii="宋体" w:hAnsi="宋体" w:eastAsia="宋体" w:cs="Times New Roman"/>
          <w:bCs/>
          <w:sz w:val="24"/>
        </w:rPr>
        <w:t>不能满足招标文件的要求和规定，</w:t>
      </w:r>
      <w:r>
        <w:rPr>
          <w:rFonts w:hint="eastAsia" w:ascii="宋体" w:hAnsi="宋体" w:eastAsia="宋体" w:cs="Times New Roman"/>
          <w:bCs/>
          <w:sz w:val="24"/>
        </w:rPr>
        <w:t>委托人</w:t>
      </w:r>
      <w:r>
        <w:rPr>
          <w:rFonts w:ascii="宋体" w:hAnsi="宋体" w:eastAsia="宋体" w:cs="Times New Roman"/>
          <w:bCs/>
          <w:sz w:val="24"/>
        </w:rPr>
        <w:t>有权将</w:t>
      </w:r>
      <w:r>
        <w:rPr>
          <w:rFonts w:hint="eastAsia" w:ascii="宋体" w:hAnsi="宋体" w:eastAsia="宋体" w:cs="Times New Roman"/>
          <w:bCs/>
          <w:sz w:val="24"/>
        </w:rPr>
        <w:t>受托人</w:t>
      </w:r>
      <w:r>
        <w:rPr>
          <w:rFonts w:ascii="宋体" w:hAnsi="宋体" w:eastAsia="宋体" w:cs="Times New Roman"/>
          <w:bCs/>
          <w:sz w:val="24"/>
        </w:rPr>
        <w:t>不胜任的工作给予改正、停工的指示或另行安排胜任的服务单位完成，该部分工作的费用按本专用条款第</w:t>
      </w:r>
      <w:r>
        <w:rPr>
          <w:rFonts w:hint="eastAsia" w:ascii="宋体" w:hAnsi="宋体" w:eastAsia="宋体" w:cs="Times New Roman"/>
          <w:bCs/>
          <w:sz w:val="24"/>
        </w:rPr>
        <w:t>9条</w:t>
      </w:r>
      <w:r>
        <w:rPr>
          <w:rFonts w:ascii="宋体" w:hAnsi="宋体" w:eastAsia="宋体" w:cs="Times New Roman"/>
          <w:bCs/>
          <w:sz w:val="24"/>
        </w:rPr>
        <w:t>计算的费用，支付给新的服务单位，该费用从</w:t>
      </w:r>
      <w:r>
        <w:rPr>
          <w:rFonts w:hint="eastAsia" w:ascii="宋体" w:hAnsi="宋体" w:eastAsia="宋体" w:cs="Times New Roman"/>
          <w:bCs/>
          <w:sz w:val="24"/>
        </w:rPr>
        <w:t>受托人</w:t>
      </w:r>
      <w:r>
        <w:rPr>
          <w:rFonts w:ascii="宋体" w:hAnsi="宋体" w:eastAsia="宋体" w:cs="Times New Roman"/>
          <w:bCs/>
          <w:sz w:val="24"/>
        </w:rPr>
        <w:t>的总合同费中开支，并且该变更不减少</w:t>
      </w:r>
      <w:r>
        <w:rPr>
          <w:rFonts w:hint="eastAsia" w:ascii="宋体" w:hAnsi="宋体" w:eastAsia="宋体" w:cs="Times New Roman"/>
          <w:bCs/>
          <w:sz w:val="24"/>
        </w:rPr>
        <w:t>受托人</w:t>
      </w:r>
      <w:r>
        <w:rPr>
          <w:rFonts w:ascii="宋体" w:hAnsi="宋体" w:eastAsia="宋体" w:cs="Times New Roman"/>
          <w:bCs/>
          <w:sz w:val="24"/>
        </w:rPr>
        <w:t>的责任。</w:t>
      </w:r>
    </w:p>
    <w:p w14:paraId="624ED8CB">
      <w:pPr>
        <w:tabs>
          <w:tab w:val="left" w:pos="851"/>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rPr>
        <w:t>（</w:t>
      </w:r>
      <w:r>
        <w:rPr>
          <w:rFonts w:ascii="宋体" w:hAnsi="宋体" w:eastAsia="宋体" w:cs="Times New Roman"/>
          <w:bCs/>
          <w:sz w:val="24"/>
        </w:rPr>
        <w:t>4）凡</w:t>
      </w:r>
      <w:r>
        <w:rPr>
          <w:rFonts w:hint="eastAsia" w:ascii="宋体" w:hAnsi="宋体" w:eastAsia="宋体" w:cs="Times New Roman"/>
          <w:bCs/>
          <w:sz w:val="24"/>
        </w:rPr>
        <w:t>设计咨询服务</w:t>
      </w:r>
      <w:r>
        <w:rPr>
          <w:rFonts w:ascii="宋体" w:hAnsi="宋体" w:eastAsia="宋体" w:cs="Times New Roman"/>
          <w:bCs/>
          <w:sz w:val="24"/>
        </w:rPr>
        <w:t>成果不合格，质量存在问题，无法通过工程验收，并给</w:t>
      </w:r>
      <w:r>
        <w:rPr>
          <w:rFonts w:hint="eastAsia" w:ascii="宋体" w:hAnsi="宋体" w:eastAsia="宋体" w:cs="Times New Roman"/>
          <w:bCs/>
          <w:sz w:val="24"/>
        </w:rPr>
        <w:t>委托人</w:t>
      </w:r>
      <w:r>
        <w:rPr>
          <w:rFonts w:ascii="宋体" w:hAnsi="宋体" w:eastAsia="宋体" w:cs="Times New Roman"/>
          <w:bCs/>
          <w:sz w:val="24"/>
        </w:rPr>
        <w:t>造成规模、投资、功能和时间损失的，</w:t>
      </w:r>
      <w:r>
        <w:rPr>
          <w:rFonts w:hint="eastAsia" w:ascii="宋体" w:hAnsi="宋体" w:eastAsia="宋体" w:cs="Times New Roman"/>
          <w:bCs/>
          <w:sz w:val="24"/>
        </w:rPr>
        <w:t>委托人有权暂停合同的执行，直至取消合同，受托人按合同金额30%赔偿给委托人，同时委托人有权追溯因受托人服务成果不合格所带来的相应损失</w:t>
      </w:r>
      <w:r>
        <w:rPr>
          <w:rFonts w:ascii="宋体" w:hAnsi="宋体" w:eastAsia="宋体" w:cs="Times New Roman"/>
          <w:bCs/>
          <w:sz w:val="24"/>
        </w:rPr>
        <w:t>。</w:t>
      </w:r>
    </w:p>
    <w:p w14:paraId="05DFCBFA">
      <w:pPr>
        <w:tabs>
          <w:tab w:val="left" w:pos="851"/>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rPr>
        <w:t>（</w:t>
      </w:r>
      <w:r>
        <w:rPr>
          <w:rFonts w:ascii="宋体" w:hAnsi="宋体" w:eastAsia="宋体" w:cs="Times New Roman"/>
          <w:bCs/>
          <w:sz w:val="24"/>
        </w:rPr>
        <w:t>5）</w:t>
      </w:r>
      <w:r>
        <w:rPr>
          <w:rFonts w:hint="eastAsia" w:ascii="宋体" w:hAnsi="宋体" w:eastAsia="宋体" w:cs="Times New Roman"/>
          <w:bCs/>
          <w:sz w:val="24"/>
        </w:rPr>
        <w:t>委托人</w:t>
      </w:r>
      <w:r>
        <w:rPr>
          <w:rFonts w:ascii="宋体" w:hAnsi="宋体" w:eastAsia="宋体" w:cs="Times New Roman"/>
          <w:bCs/>
          <w:sz w:val="24"/>
        </w:rPr>
        <w:t>对</w:t>
      </w:r>
      <w:r>
        <w:rPr>
          <w:rFonts w:hint="eastAsia" w:ascii="宋体" w:hAnsi="宋体" w:eastAsia="宋体" w:cs="Times New Roman"/>
          <w:bCs/>
          <w:sz w:val="24"/>
        </w:rPr>
        <w:t>受托人</w:t>
      </w:r>
      <w:r>
        <w:rPr>
          <w:rFonts w:ascii="宋体" w:hAnsi="宋体" w:eastAsia="宋体" w:cs="Times New Roman"/>
          <w:bCs/>
          <w:sz w:val="24"/>
        </w:rPr>
        <w:t>按照协议书规定所履行的服务提供必要的支持与协助。</w:t>
      </w:r>
    </w:p>
    <w:p w14:paraId="75A0DC55">
      <w:pPr>
        <w:tabs>
          <w:tab w:val="left" w:pos="851"/>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rPr>
        <w:t>（</w:t>
      </w:r>
      <w:r>
        <w:rPr>
          <w:rFonts w:ascii="宋体" w:hAnsi="宋体" w:eastAsia="宋体" w:cs="Times New Roman"/>
          <w:bCs/>
          <w:sz w:val="24"/>
        </w:rPr>
        <w:t>6）</w:t>
      </w:r>
      <w:r>
        <w:rPr>
          <w:rFonts w:hint="eastAsia" w:ascii="宋体" w:hAnsi="宋体" w:eastAsia="宋体" w:cs="Times New Roman"/>
          <w:bCs/>
          <w:sz w:val="24"/>
        </w:rPr>
        <w:t>委托人</w:t>
      </w:r>
      <w:r>
        <w:rPr>
          <w:rFonts w:ascii="宋体" w:hAnsi="宋体" w:eastAsia="宋体" w:cs="Times New Roman"/>
          <w:bCs/>
          <w:sz w:val="24"/>
        </w:rPr>
        <w:t>将协助</w:t>
      </w:r>
      <w:r>
        <w:rPr>
          <w:rFonts w:hint="eastAsia" w:ascii="宋体" w:hAnsi="宋体" w:eastAsia="宋体" w:cs="Times New Roman"/>
          <w:bCs/>
          <w:sz w:val="24"/>
        </w:rPr>
        <w:t>受托人</w:t>
      </w:r>
      <w:r>
        <w:rPr>
          <w:rFonts w:ascii="宋体" w:hAnsi="宋体" w:eastAsia="宋体" w:cs="Times New Roman"/>
          <w:bCs/>
          <w:sz w:val="24"/>
        </w:rPr>
        <w:t>获取与服务有关的一切资料。</w:t>
      </w:r>
    </w:p>
    <w:p w14:paraId="373190A8">
      <w:pPr>
        <w:tabs>
          <w:tab w:val="left" w:pos="851"/>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rPr>
        <w:t>（</w:t>
      </w:r>
      <w:r>
        <w:rPr>
          <w:rFonts w:ascii="宋体" w:hAnsi="宋体" w:eastAsia="宋体" w:cs="Times New Roman"/>
          <w:bCs/>
          <w:sz w:val="24"/>
        </w:rPr>
        <w:t>7）</w:t>
      </w:r>
      <w:r>
        <w:rPr>
          <w:rFonts w:hint="eastAsia" w:ascii="宋体" w:hAnsi="宋体" w:eastAsia="宋体" w:cs="Times New Roman"/>
          <w:bCs/>
          <w:sz w:val="24"/>
        </w:rPr>
        <w:t>委托人</w:t>
      </w:r>
      <w:r>
        <w:rPr>
          <w:rFonts w:ascii="宋体" w:hAnsi="宋体" w:eastAsia="宋体" w:cs="Times New Roman"/>
          <w:bCs/>
          <w:sz w:val="24"/>
        </w:rPr>
        <w:t>应指定授权的代表，负责与</w:t>
      </w:r>
      <w:r>
        <w:rPr>
          <w:rFonts w:hint="eastAsia" w:ascii="宋体" w:hAnsi="宋体" w:eastAsia="宋体" w:cs="Times New Roman"/>
          <w:bCs/>
          <w:sz w:val="24"/>
        </w:rPr>
        <w:t>受托人</w:t>
      </w:r>
      <w:r>
        <w:rPr>
          <w:rFonts w:ascii="宋体" w:hAnsi="宋体" w:eastAsia="宋体" w:cs="Times New Roman"/>
          <w:bCs/>
          <w:sz w:val="24"/>
        </w:rPr>
        <w:t>建立联络关系。更换人员或变更其授权时，须提前7天通知</w:t>
      </w:r>
      <w:r>
        <w:rPr>
          <w:rFonts w:hint="eastAsia" w:ascii="宋体" w:hAnsi="宋体" w:eastAsia="宋体" w:cs="Times New Roman"/>
          <w:bCs/>
          <w:sz w:val="24"/>
        </w:rPr>
        <w:t>受托人</w:t>
      </w:r>
      <w:r>
        <w:rPr>
          <w:rFonts w:ascii="宋体" w:hAnsi="宋体" w:eastAsia="宋体" w:cs="Times New Roman"/>
          <w:bCs/>
          <w:sz w:val="24"/>
        </w:rPr>
        <w:t>。</w:t>
      </w:r>
    </w:p>
    <w:p w14:paraId="0387468A">
      <w:pPr>
        <w:tabs>
          <w:tab w:val="left" w:pos="851"/>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rPr>
        <w:t>（</w:t>
      </w:r>
      <w:r>
        <w:rPr>
          <w:rFonts w:ascii="宋体" w:hAnsi="宋体" w:eastAsia="宋体" w:cs="Times New Roman"/>
          <w:bCs/>
          <w:sz w:val="24"/>
        </w:rPr>
        <w:t>8）</w:t>
      </w:r>
      <w:r>
        <w:rPr>
          <w:rFonts w:hint="eastAsia" w:ascii="宋体" w:hAnsi="宋体" w:eastAsia="宋体" w:cs="Times New Roman"/>
          <w:bCs/>
          <w:sz w:val="24"/>
        </w:rPr>
        <w:t>委托人</w:t>
      </w:r>
      <w:r>
        <w:rPr>
          <w:rFonts w:ascii="宋体" w:hAnsi="宋体" w:eastAsia="宋体" w:cs="Times New Roman"/>
          <w:bCs/>
          <w:sz w:val="24"/>
        </w:rPr>
        <w:t>应将授予</w:t>
      </w:r>
      <w:r>
        <w:rPr>
          <w:rFonts w:hint="eastAsia" w:ascii="宋体" w:hAnsi="宋体" w:eastAsia="宋体" w:cs="Times New Roman"/>
          <w:bCs/>
          <w:sz w:val="24"/>
        </w:rPr>
        <w:t>受托人</w:t>
      </w:r>
      <w:r>
        <w:rPr>
          <w:rFonts w:ascii="宋体" w:hAnsi="宋体" w:eastAsia="宋体" w:cs="Times New Roman"/>
          <w:bCs/>
          <w:sz w:val="24"/>
        </w:rPr>
        <w:t>的权力,及时通知第三方或在与第三方签订的合同文件中明确。</w:t>
      </w:r>
    </w:p>
    <w:p w14:paraId="77A9D6E0">
      <w:pPr>
        <w:tabs>
          <w:tab w:val="left" w:pos="851"/>
          <w:tab w:val="left" w:pos="1050"/>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rPr>
        <w:t>（</w:t>
      </w:r>
      <w:r>
        <w:rPr>
          <w:rFonts w:ascii="宋体" w:hAnsi="宋体" w:eastAsia="宋体" w:cs="Times New Roman"/>
          <w:bCs/>
          <w:sz w:val="24"/>
        </w:rPr>
        <w:t>9）检查</w:t>
      </w:r>
      <w:r>
        <w:rPr>
          <w:rFonts w:hint="eastAsia" w:ascii="宋体" w:hAnsi="宋体" w:eastAsia="宋体" w:cs="Times New Roman"/>
          <w:bCs/>
          <w:sz w:val="24"/>
        </w:rPr>
        <w:t>受托人</w:t>
      </w:r>
      <w:r>
        <w:rPr>
          <w:rFonts w:ascii="宋体" w:hAnsi="宋体" w:eastAsia="宋体" w:cs="Times New Roman"/>
          <w:bCs/>
          <w:sz w:val="24"/>
        </w:rPr>
        <w:t>的</w:t>
      </w:r>
      <w:r>
        <w:rPr>
          <w:rFonts w:hint="eastAsia" w:ascii="宋体" w:hAnsi="宋体" w:eastAsia="宋体" w:cs="Times New Roman"/>
          <w:bCs/>
          <w:sz w:val="24"/>
        </w:rPr>
        <w:t>设计咨询服务</w:t>
      </w:r>
      <w:r>
        <w:rPr>
          <w:rFonts w:ascii="宋体" w:hAnsi="宋体" w:eastAsia="宋体" w:cs="Times New Roman"/>
          <w:bCs/>
          <w:sz w:val="24"/>
        </w:rPr>
        <w:t>是否体现了</w:t>
      </w:r>
      <w:r>
        <w:rPr>
          <w:rFonts w:hint="eastAsia" w:ascii="宋体" w:hAnsi="宋体" w:eastAsia="宋体" w:cs="Times New Roman"/>
          <w:bCs/>
          <w:sz w:val="24"/>
        </w:rPr>
        <w:t>委托人</w:t>
      </w:r>
      <w:r>
        <w:rPr>
          <w:rFonts w:ascii="宋体" w:hAnsi="宋体" w:eastAsia="宋体" w:cs="Times New Roman"/>
          <w:bCs/>
          <w:sz w:val="24"/>
        </w:rPr>
        <w:t>意图，与合同约定不符的，</w:t>
      </w:r>
      <w:r>
        <w:rPr>
          <w:rFonts w:hint="eastAsia" w:ascii="宋体" w:hAnsi="宋体" w:eastAsia="宋体" w:cs="Times New Roman"/>
          <w:bCs/>
          <w:sz w:val="24"/>
        </w:rPr>
        <w:t>受托人</w:t>
      </w:r>
      <w:r>
        <w:rPr>
          <w:rFonts w:ascii="宋体" w:hAnsi="宋体" w:eastAsia="宋体" w:cs="Times New Roman"/>
          <w:bCs/>
          <w:sz w:val="24"/>
        </w:rPr>
        <w:t>应自行修改。</w:t>
      </w:r>
    </w:p>
    <w:p w14:paraId="49A538CD">
      <w:pPr>
        <w:tabs>
          <w:tab w:val="left" w:pos="1050"/>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rPr>
        <w:t>（</w:t>
      </w:r>
      <w:r>
        <w:rPr>
          <w:rFonts w:ascii="宋体" w:hAnsi="宋体" w:eastAsia="宋体" w:cs="Times New Roman"/>
          <w:bCs/>
          <w:sz w:val="24"/>
        </w:rPr>
        <w:t>10）对</w:t>
      </w:r>
      <w:r>
        <w:rPr>
          <w:rFonts w:hint="eastAsia" w:ascii="宋体" w:hAnsi="宋体" w:eastAsia="宋体" w:cs="Times New Roman"/>
          <w:bCs/>
          <w:sz w:val="24"/>
        </w:rPr>
        <w:t>受托人</w:t>
      </w:r>
      <w:r>
        <w:rPr>
          <w:rFonts w:ascii="宋体" w:hAnsi="宋体" w:eastAsia="宋体" w:cs="Times New Roman"/>
          <w:bCs/>
          <w:sz w:val="24"/>
        </w:rPr>
        <w:t>以书面形式提交的需要</w:t>
      </w:r>
      <w:r>
        <w:rPr>
          <w:rFonts w:hint="eastAsia" w:ascii="宋体" w:hAnsi="宋体" w:eastAsia="宋体" w:cs="Times New Roman"/>
          <w:bCs/>
          <w:sz w:val="24"/>
        </w:rPr>
        <w:t>委托人</w:t>
      </w:r>
      <w:r>
        <w:rPr>
          <w:rFonts w:ascii="宋体" w:hAnsi="宋体" w:eastAsia="宋体" w:cs="Times New Roman"/>
          <w:bCs/>
          <w:sz w:val="24"/>
        </w:rPr>
        <w:t>答复的事宜，在收到书面通知后10个工作日内予以答复。</w:t>
      </w:r>
    </w:p>
    <w:p w14:paraId="6280D9D3">
      <w:pPr>
        <w:tabs>
          <w:tab w:val="left" w:pos="1050"/>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rPr>
        <w:t>（</w:t>
      </w:r>
      <w:r>
        <w:rPr>
          <w:rFonts w:ascii="宋体" w:hAnsi="宋体" w:eastAsia="宋体" w:cs="Times New Roman"/>
          <w:bCs/>
          <w:sz w:val="24"/>
        </w:rPr>
        <w:t>11）根据工程需要，有权提出本合同范围以外的合理要求，</w:t>
      </w:r>
      <w:r>
        <w:rPr>
          <w:rFonts w:hint="eastAsia" w:ascii="宋体" w:hAnsi="宋体" w:eastAsia="宋体" w:cs="Times New Roman"/>
          <w:bCs/>
          <w:sz w:val="24"/>
        </w:rPr>
        <w:t>受托人</w:t>
      </w:r>
      <w:r>
        <w:rPr>
          <w:rFonts w:ascii="宋体" w:hAnsi="宋体" w:eastAsia="宋体" w:cs="Times New Roman"/>
          <w:bCs/>
          <w:sz w:val="24"/>
        </w:rPr>
        <w:t>予以执行，如发生费用，按合同规定处理。</w:t>
      </w:r>
    </w:p>
    <w:p w14:paraId="04316D31">
      <w:pPr>
        <w:tabs>
          <w:tab w:val="left" w:pos="1050"/>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kern w:val="0"/>
          <w:sz w:val="24"/>
        </w:rPr>
        <w:t>（</w:t>
      </w:r>
      <w:r>
        <w:rPr>
          <w:rFonts w:ascii="宋体" w:hAnsi="宋体" w:eastAsia="宋体" w:cs="Times New Roman"/>
          <w:kern w:val="0"/>
          <w:sz w:val="24"/>
        </w:rPr>
        <w:t>12）全力支持</w:t>
      </w:r>
      <w:r>
        <w:rPr>
          <w:rFonts w:hint="eastAsia" w:ascii="宋体" w:hAnsi="宋体" w:eastAsia="宋体" w:cs="Times New Roman"/>
          <w:kern w:val="0"/>
          <w:sz w:val="24"/>
        </w:rPr>
        <w:t>受托人</w:t>
      </w:r>
      <w:r>
        <w:rPr>
          <w:rFonts w:ascii="宋体" w:hAnsi="宋体" w:eastAsia="宋体" w:cs="Times New Roman"/>
          <w:kern w:val="0"/>
          <w:sz w:val="24"/>
        </w:rPr>
        <w:t>员的工作，为</w:t>
      </w:r>
      <w:r>
        <w:rPr>
          <w:rFonts w:hint="eastAsia" w:ascii="宋体" w:hAnsi="宋体" w:eastAsia="宋体" w:cs="Times New Roman"/>
          <w:kern w:val="0"/>
          <w:sz w:val="24"/>
        </w:rPr>
        <w:t>受托人</w:t>
      </w:r>
      <w:r>
        <w:rPr>
          <w:rFonts w:ascii="宋体" w:hAnsi="宋体" w:eastAsia="宋体" w:cs="Times New Roman"/>
          <w:kern w:val="0"/>
          <w:sz w:val="24"/>
        </w:rPr>
        <w:t>公正、科学、独立地开展审查工作创造条件。</w:t>
      </w:r>
    </w:p>
    <w:p w14:paraId="773695BD">
      <w:pPr>
        <w:tabs>
          <w:tab w:val="left" w:pos="1050"/>
        </w:tabs>
        <w:adjustRightInd w:val="0"/>
        <w:snapToGrid w:val="0"/>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w:t>
      </w:r>
      <w:r>
        <w:rPr>
          <w:rFonts w:ascii="宋体" w:hAnsi="宋体" w:eastAsia="宋体" w:cs="Times New Roman"/>
          <w:kern w:val="0"/>
          <w:sz w:val="24"/>
        </w:rPr>
        <w:t>13）</w:t>
      </w:r>
      <w:r>
        <w:rPr>
          <w:rFonts w:hint="eastAsia" w:ascii="宋体" w:hAnsi="宋体" w:eastAsia="宋体" w:cs="Times New Roman"/>
          <w:kern w:val="0"/>
          <w:sz w:val="24"/>
        </w:rPr>
        <w:t>委托人</w:t>
      </w:r>
      <w:r>
        <w:rPr>
          <w:rFonts w:ascii="宋体" w:hAnsi="宋体" w:eastAsia="宋体" w:cs="Times New Roman"/>
          <w:kern w:val="0"/>
          <w:sz w:val="24"/>
        </w:rPr>
        <w:t>不得要求</w:t>
      </w:r>
      <w:r>
        <w:rPr>
          <w:rFonts w:hint="eastAsia" w:ascii="宋体" w:hAnsi="宋体" w:eastAsia="宋体" w:cs="Times New Roman"/>
          <w:kern w:val="0"/>
          <w:sz w:val="24"/>
        </w:rPr>
        <w:t>受托人</w:t>
      </w:r>
      <w:r>
        <w:rPr>
          <w:rFonts w:ascii="宋体" w:hAnsi="宋体" w:eastAsia="宋体" w:cs="Times New Roman"/>
          <w:kern w:val="0"/>
          <w:sz w:val="24"/>
        </w:rPr>
        <w:t>违反国家有关标准及地方有关法规、规程进行审查。</w:t>
      </w:r>
    </w:p>
    <w:p w14:paraId="041B628F">
      <w:pPr>
        <w:tabs>
          <w:tab w:val="left" w:pos="851"/>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rPr>
        <w:t>1</w:t>
      </w:r>
      <w:r>
        <w:rPr>
          <w:rFonts w:ascii="宋体" w:hAnsi="宋体" w:eastAsia="宋体" w:cs="Times New Roman"/>
          <w:bCs/>
          <w:sz w:val="24"/>
        </w:rPr>
        <w:t xml:space="preserve">9.2.2 </w:t>
      </w:r>
      <w:r>
        <w:rPr>
          <w:rFonts w:hint="eastAsia" w:ascii="宋体" w:hAnsi="宋体" w:eastAsia="宋体" w:cs="Times New Roman"/>
          <w:bCs/>
          <w:sz w:val="24"/>
        </w:rPr>
        <w:t>受托人</w:t>
      </w:r>
      <w:r>
        <w:rPr>
          <w:rFonts w:ascii="宋体" w:hAnsi="宋体" w:eastAsia="宋体" w:cs="Times New Roman"/>
          <w:bCs/>
          <w:sz w:val="24"/>
        </w:rPr>
        <w:t>需根据合同规定配置机构和班子，配备足够的各专业人员</w:t>
      </w:r>
      <w:r>
        <w:rPr>
          <w:rFonts w:hint="eastAsia" w:ascii="宋体" w:hAnsi="宋体" w:eastAsia="宋体" w:cs="Times New Roman"/>
          <w:bCs/>
          <w:sz w:val="24"/>
        </w:rPr>
        <w:t>。</w:t>
      </w:r>
    </w:p>
    <w:p w14:paraId="29A0B4D5">
      <w:pPr>
        <w:adjustRightInd w:val="0"/>
        <w:snapToGrid w:val="0"/>
        <w:spacing w:line="360" w:lineRule="auto"/>
        <w:ind w:firstLine="480" w:firstLineChars="200"/>
        <w:rPr>
          <w:rFonts w:hint="eastAsia" w:ascii="宋体" w:hAnsi="宋体" w:eastAsia="宋体" w:cs="Times New Roman"/>
          <w:bCs/>
          <w:sz w:val="24"/>
        </w:rPr>
      </w:pPr>
      <w:r>
        <w:rPr>
          <w:rFonts w:ascii="宋体" w:hAnsi="宋体" w:eastAsia="宋体" w:cs="Times New Roman"/>
          <w:bCs/>
          <w:sz w:val="24"/>
        </w:rPr>
        <w:t>19.2.17</w:t>
      </w:r>
      <w:r>
        <w:rPr>
          <w:rFonts w:hint="eastAsia" w:ascii="宋体" w:hAnsi="宋体" w:eastAsia="宋体" w:cs="Times New Roman"/>
          <w:bCs/>
          <w:sz w:val="24"/>
        </w:rPr>
        <w:t>受托人</w:t>
      </w:r>
      <w:r>
        <w:rPr>
          <w:rFonts w:ascii="宋体" w:hAnsi="宋体" w:eastAsia="宋体" w:cs="Times New Roman"/>
          <w:bCs/>
          <w:sz w:val="24"/>
        </w:rPr>
        <w:t>必须按照协议书规定的形式与范围履行与项目有关的服务。</w:t>
      </w:r>
    </w:p>
    <w:p w14:paraId="154621A7">
      <w:pPr>
        <w:adjustRightInd w:val="0"/>
        <w:snapToGrid w:val="0"/>
        <w:spacing w:line="360" w:lineRule="auto"/>
        <w:ind w:firstLine="480" w:firstLineChars="200"/>
        <w:rPr>
          <w:rFonts w:hint="eastAsia" w:ascii="宋体" w:hAnsi="宋体" w:eastAsia="宋体" w:cs="Times New Roman"/>
          <w:bCs/>
          <w:sz w:val="24"/>
        </w:rPr>
      </w:pPr>
      <w:r>
        <w:rPr>
          <w:rFonts w:ascii="宋体" w:hAnsi="宋体" w:eastAsia="宋体" w:cs="Times New Roman"/>
          <w:bCs/>
          <w:sz w:val="24"/>
        </w:rPr>
        <w:t>19.2.18 组织保证</w:t>
      </w:r>
    </w:p>
    <w:p w14:paraId="3E85C814">
      <w:pPr>
        <w:tabs>
          <w:tab w:val="left" w:pos="851"/>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rPr>
        <w:t>（</w:t>
      </w:r>
      <w:r>
        <w:rPr>
          <w:rFonts w:ascii="宋体" w:hAnsi="宋体" w:eastAsia="宋体" w:cs="Times New Roman"/>
          <w:bCs/>
          <w:sz w:val="24"/>
        </w:rPr>
        <w:t>1）按合同的要求建立各项工作管理制度，要求与</w:t>
      </w:r>
      <w:r>
        <w:rPr>
          <w:rFonts w:hint="eastAsia" w:ascii="宋体" w:hAnsi="宋体" w:eastAsia="宋体" w:cs="Times New Roman"/>
          <w:bCs/>
          <w:sz w:val="24"/>
        </w:rPr>
        <w:t>委托人</w:t>
      </w:r>
      <w:r>
        <w:rPr>
          <w:rFonts w:ascii="宋体" w:hAnsi="宋体" w:eastAsia="宋体" w:cs="Times New Roman"/>
          <w:bCs/>
          <w:sz w:val="24"/>
        </w:rPr>
        <w:t>有关管理制度相适应，确保</w:t>
      </w:r>
      <w:r>
        <w:rPr>
          <w:rFonts w:hint="eastAsia" w:ascii="宋体" w:hAnsi="宋体" w:eastAsia="宋体" w:cs="Times New Roman"/>
          <w:bCs/>
          <w:sz w:val="24"/>
        </w:rPr>
        <w:t>受托人</w:t>
      </w:r>
      <w:r>
        <w:rPr>
          <w:rFonts w:ascii="宋体" w:hAnsi="宋体" w:eastAsia="宋体" w:cs="Times New Roman"/>
          <w:bCs/>
          <w:sz w:val="24"/>
        </w:rPr>
        <w:t>与</w:t>
      </w:r>
      <w:r>
        <w:rPr>
          <w:rFonts w:hint="eastAsia" w:ascii="宋体" w:hAnsi="宋体" w:eastAsia="宋体" w:cs="Times New Roman"/>
          <w:bCs/>
          <w:sz w:val="24"/>
        </w:rPr>
        <w:t>委托人</w:t>
      </w:r>
      <w:r>
        <w:rPr>
          <w:rFonts w:ascii="宋体" w:hAnsi="宋体" w:eastAsia="宋体" w:cs="Times New Roman"/>
          <w:bCs/>
          <w:sz w:val="24"/>
        </w:rPr>
        <w:t>的工作协调一致。</w:t>
      </w:r>
    </w:p>
    <w:p w14:paraId="2D597AE3">
      <w:pPr>
        <w:tabs>
          <w:tab w:val="left" w:pos="851"/>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rPr>
        <w:t>（</w:t>
      </w:r>
      <w:r>
        <w:rPr>
          <w:rFonts w:ascii="宋体" w:hAnsi="宋体" w:eastAsia="宋体" w:cs="Times New Roman"/>
          <w:bCs/>
          <w:sz w:val="24"/>
        </w:rPr>
        <w:t>2）</w:t>
      </w:r>
      <w:r>
        <w:rPr>
          <w:rFonts w:hint="eastAsia" w:ascii="宋体" w:hAnsi="宋体" w:eastAsia="宋体" w:cs="Times New Roman"/>
          <w:bCs/>
          <w:sz w:val="24"/>
        </w:rPr>
        <w:t>受托人</w:t>
      </w:r>
      <w:r>
        <w:rPr>
          <w:rFonts w:ascii="宋体" w:hAnsi="宋体" w:eastAsia="宋体" w:cs="Times New Roman"/>
          <w:bCs/>
          <w:sz w:val="24"/>
        </w:rPr>
        <w:t>未经</w:t>
      </w:r>
      <w:r>
        <w:rPr>
          <w:rFonts w:hint="eastAsia" w:ascii="宋体" w:hAnsi="宋体" w:eastAsia="宋体" w:cs="Times New Roman"/>
          <w:bCs/>
          <w:sz w:val="24"/>
        </w:rPr>
        <w:t>委托人</w:t>
      </w:r>
      <w:r>
        <w:rPr>
          <w:rFonts w:ascii="宋体" w:hAnsi="宋体" w:eastAsia="宋体" w:cs="Times New Roman"/>
          <w:bCs/>
          <w:sz w:val="24"/>
        </w:rPr>
        <w:t>批准不得擅自变更项目组人员。</w:t>
      </w:r>
    </w:p>
    <w:p w14:paraId="5CCC2537">
      <w:pPr>
        <w:adjustRightInd w:val="0"/>
        <w:snapToGrid w:val="0"/>
        <w:spacing w:line="360" w:lineRule="auto"/>
        <w:ind w:firstLine="480" w:firstLineChars="200"/>
        <w:rPr>
          <w:rFonts w:hint="eastAsia" w:ascii="宋体" w:hAnsi="宋体" w:eastAsia="宋体" w:cs="Times New Roman"/>
          <w:bCs/>
          <w:sz w:val="24"/>
        </w:rPr>
      </w:pPr>
      <w:r>
        <w:rPr>
          <w:rFonts w:ascii="宋体" w:hAnsi="宋体" w:eastAsia="宋体" w:cs="Times New Roman"/>
          <w:bCs/>
          <w:sz w:val="24"/>
        </w:rPr>
        <w:t>19.2.19</w:t>
      </w:r>
      <w:r>
        <w:rPr>
          <w:rFonts w:hint="eastAsia" w:ascii="宋体" w:hAnsi="宋体" w:eastAsia="宋体" w:cs="Times New Roman"/>
          <w:bCs/>
          <w:sz w:val="24"/>
        </w:rPr>
        <w:t>设计</w:t>
      </w:r>
      <w:r>
        <w:rPr>
          <w:rFonts w:ascii="宋体" w:hAnsi="宋体" w:eastAsia="宋体" w:cs="Times New Roman"/>
          <w:bCs/>
          <w:sz w:val="24"/>
        </w:rPr>
        <w:t>图审图</w:t>
      </w:r>
    </w:p>
    <w:p w14:paraId="1EBC8526">
      <w:pPr>
        <w:tabs>
          <w:tab w:val="left" w:pos="851"/>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rPr>
        <w:t>（</w:t>
      </w:r>
      <w:r>
        <w:rPr>
          <w:rFonts w:ascii="宋体" w:hAnsi="宋体" w:eastAsia="宋体" w:cs="Times New Roman"/>
          <w:bCs/>
          <w:sz w:val="24"/>
        </w:rPr>
        <w:t>1）应充分考虑</w:t>
      </w:r>
      <w:r>
        <w:rPr>
          <w:rFonts w:hint="eastAsia" w:ascii="宋体" w:hAnsi="宋体" w:eastAsia="宋体" w:cs="Times New Roman"/>
          <w:bCs/>
          <w:sz w:val="24"/>
        </w:rPr>
        <w:t>委托人</w:t>
      </w:r>
      <w:r>
        <w:rPr>
          <w:rFonts w:ascii="宋体" w:hAnsi="宋体" w:eastAsia="宋体" w:cs="Times New Roman"/>
          <w:bCs/>
          <w:sz w:val="24"/>
        </w:rPr>
        <w:t>建设本工程的目的和意图，注重技术、安全、施工和维护等。</w:t>
      </w:r>
    </w:p>
    <w:p w14:paraId="414CD84C">
      <w:pPr>
        <w:tabs>
          <w:tab w:val="left" w:pos="851"/>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rPr>
        <w:t>（</w:t>
      </w:r>
      <w:r>
        <w:rPr>
          <w:rFonts w:ascii="宋体" w:hAnsi="宋体" w:eastAsia="宋体" w:cs="Times New Roman"/>
          <w:bCs/>
          <w:sz w:val="24"/>
        </w:rPr>
        <w:t>2）由于</w:t>
      </w:r>
      <w:r>
        <w:rPr>
          <w:rFonts w:hint="eastAsia" w:ascii="宋体" w:hAnsi="宋体" w:eastAsia="宋体" w:cs="Times New Roman"/>
          <w:bCs/>
          <w:sz w:val="24"/>
        </w:rPr>
        <w:t>受托人</w:t>
      </w:r>
      <w:r>
        <w:rPr>
          <w:rFonts w:ascii="宋体" w:hAnsi="宋体" w:eastAsia="宋体" w:cs="Times New Roman"/>
          <w:bCs/>
          <w:sz w:val="24"/>
        </w:rPr>
        <w:t>原因产生质量问题，引起的</w:t>
      </w:r>
      <w:r>
        <w:rPr>
          <w:rFonts w:hint="eastAsia" w:ascii="宋体" w:hAnsi="宋体" w:eastAsia="宋体" w:cs="Times New Roman"/>
          <w:bCs/>
          <w:sz w:val="24"/>
        </w:rPr>
        <w:t>委托人</w:t>
      </w:r>
      <w:r>
        <w:rPr>
          <w:rFonts w:ascii="宋体" w:hAnsi="宋体" w:eastAsia="宋体" w:cs="Times New Roman"/>
          <w:bCs/>
          <w:sz w:val="24"/>
        </w:rPr>
        <w:t>损失时，</w:t>
      </w:r>
      <w:r>
        <w:rPr>
          <w:rFonts w:hint="eastAsia" w:ascii="宋体" w:hAnsi="宋体" w:eastAsia="宋体" w:cs="Times New Roman"/>
          <w:bCs/>
          <w:sz w:val="24"/>
        </w:rPr>
        <w:t>受托人</w:t>
      </w:r>
      <w:r>
        <w:rPr>
          <w:rFonts w:ascii="宋体" w:hAnsi="宋体" w:eastAsia="宋体" w:cs="Times New Roman"/>
          <w:bCs/>
          <w:sz w:val="24"/>
        </w:rPr>
        <w:t>根据约定做出相应赔偿。</w:t>
      </w:r>
    </w:p>
    <w:p w14:paraId="3C12BF1D">
      <w:pPr>
        <w:tabs>
          <w:tab w:val="left" w:pos="851"/>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rPr>
        <w:t>（</w:t>
      </w:r>
      <w:r>
        <w:rPr>
          <w:rFonts w:ascii="宋体" w:hAnsi="宋体" w:eastAsia="宋体" w:cs="Times New Roman"/>
          <w:bCs/>
          <w:sz w:val="24"/>
        </w:rPr>
        <w:t>3）编制有效、科学的工作进度计划满足合同约定的要求，确保</w:t>
      </w:r>
      <w:r>
        <w:rPr>
          <w:rFonts w:hint="eastAsia" w:ascii="宋体" w:hAnsi="宋体" w:eastAsia="宋体" w:cs="Times New Roman"/>
          <w:bCs/>
          <w:sz w:val="24"/>
        </w:rPr>
        <w:t>设计咨询服务</w:t>
      </w:r>
      <w:r>
        <w:rPr>
          <w:rFonts w:ascii="宋体" w:hAnsi="宋体" w:eastAsia="宋体" w:cs="Times New Roman"/>
          <w:bCs/>
          <w:sz w:val="24"/>
        </w:rPr>
        <w:t>任务按计划完成，并及时提交</w:t>
      </w:r>
      <w:r>
        <w:rPr>
          <w:rFonts w:hint="eastAsia" w:ascii="宋体" w:hAnsi="宋体" w:eastAsia="宋体" w:cs="Times New Roman"/>
          <w:bCs/>
          <w:sz w:val="24"/>
        </w:rPr>
        <w:t>委托人</w:t>
      </w:r>
      <w:r>
        <w:rPr>
          <w:rFonts w:ascii="宋体" w:hAnsi="宋体" w:eastAsia="宋体" w:cs="Times New Roman"/>
          <w:bCs/>
          <w:sz w:val="24"/>
        </w:rPr>
        <w:t>。</w:t>
      </w:r>
    </w:p>
    <w:p w14:paraId="363A9DC4">
      <w:pPr>
        <w:tabs>
          <w:tab w:val="left" w:pos="851"/>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rPr>
        <w:t>（</w:t>
      </w:r>
      <w:r>
        <w:rPr>
          <w:rFonts w:ascii="宋体" w:hAnsi="宋体" w:eastAsia="宋体" w:cs="Times New Roman"/>
          <w:bCs/>
          <w:sz w:val="24"/>
        </w:rPr>
        <w:t>4）向</w:t>
      </w:r>
      <w:r>
        <w:rPr>
          <w:rFonts w:hint="eastAsia" w:ascii="宋体" w:hAnsi="宋体" w:eastAsia="宋体" w:cs="Times New Roman"/>
          <w:bCs/>
          <w:sz w:val="24"/>
        </w:rPr>
        <w:t>委托人</w:t>
      </w:r>
      <w:r>
        <w:rPr>
          <w:rFonts w:ascii="宋体" w:hAnsi="宋体" w:eastAsia="宋体" w:cs="Times New Roman"/>
          <w:bCs/>
          <w:sz w:val="24"/>
        </w:rPr>
        <w:t>进行阶段工作汇报。</w:t>
      </w:r>
    </w:p>
    <w:p w14:paraId="01C34711">
      <w:pPr>
        <w:adjustRightInd w:val="0"/>
        <w:snapToGrid w:val="0"/>
        <w:spacing w:line="360" w:lineRule="auto"/>
        <w:ind w:firstLine="480" w:firstLineChars="200"/>
        <w:rPr>
          <w:rFonts w:hint="eastAsia" w:ascii="宋体" w:hAnsi="宋体" w:eastAsia="宋体" w:cs="Times New Roman"/>
          <w:bCs/>
          <w:sz w:val="24"/>
        </w:rPr>
      </w:pPr>
      <w:r>
        <w:rPr>
          <w:rFonts w:ascii="宋体" w:hAnsi="宋体" w:eastAsia="宋体" w:cs="Times New Roman"/>
          <w:bCs/>
          <w:sz w:val="24"/>
        </w:rPr>
        <w:t>19.2.20 其它</w:t>
      </w:r>
    </w:p>
    <w:p w14:paraId="3B8A0901">
      <w:pPr>
        <w:tabs>
          <w:tab w:val="left" w:pos="851"/>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rPr>
        <w:t>（</w:t>
      </w:r>
      <w:r>
        <w:rPr>
          <w:rFonts w:ascii="宋体" w:hAnsi="宋体" w:eastAsia="宋体" w:cs="Times New Roman"/>
          <w:bCs/>
          <w:sz w:val="24"/>
        </w:rPr>
        <w:t>1）</w:t>
      </w:r>
      <w:r>
        <w:rPr>
          <w:rFonts w:hint="eastAsia" w:ascii="宋体" w:hAnsi="宋体" w:eastAsia="宋体" w:cs="Times New Roman"/>
          <w:bCs/>
          <w:sz w:val="24"/>
        </w:rPr>
        <w:t>受托人</w:t>
      </w:r>
      <w:r>
        <w:rPr>
          <w:rFonts w:ascii="宋体" w:hAnsi="宋体" w:eastAsia="宋体" w:cs="Times New Roman"/>
          <w:bCs/>
          <w:sz w:val="24"/>
        </w:rPr>
        <w:t>有技术保密的责任和义务，过程文件、阶段性成果和最终成果等不得泄漏给与</w:t>
      </w:r>
      <w:r>
        <w:rPr>
          <w:rFonts w:hint="eastAsia" w:ascii="宋体" w:hAnsi="宋体" w:eastAsia="宋体" w:cs="Times New Roman"/>
          <w:bCs/>
          <w:sz w:val="24"/>
        </w:rPr>
        <w:t>设计咨询服务</w:t>
      </w:r>
      <w:r>
        <w:rPr>
          <w:rFonts w:ascii="宋体" w:hAnsi="宋体" w:eastAsia="宋体" w:cs="Times New Roman"/>
          <w:bCs/>
          <w:sz w:val="24"/>
        </w:rPr>
        <w:t>无关的人，以维护</w:t>
      </w:r>
      <w:r>
        <w:rPr>
          <w:rFonts w:hint="eastAsia" w:ascii="宋体" w:hAnsi="宋体" w:eastAsia="宋体" w:cs="Times New Roman"/>
          <w:bCs/>
          <w:sz w:val="24"/>
        </w:rPr>
        <w:t>委托人</w:t>
      </w:r>
      <w:r>
        <w:rPr>
          <w:rFonts w:ascii="宋体" w:hAnsi="宋体" w:eastAsia="宋体" w:cs="Times New Roman"/>
          <w:bCs/>
          <w:sz w:val="24"/>
        </w:rPr>
        <w:t>的权益。在本合同期内或合同终止后未征得</w:t>
      </w:r>
      <w:r>
        <w:rPr>
          <w:rFonts w:hint="eastAsia" w:ascii="宋体" w:hAnsi="宋体" w:eastAsia="宋体" w:cs="Times New Roman"/>
          <w:bCs/>
          <w:sz w:val="24"/>
        </w:rPr>
        <w:t>委托人</w:t>
      </w:r>
      <w:r>
        <w:rPr>
          <w:rFonts w:ascii="宋体" w:hAnsi="宋体" w:eastAsia="宋体" w:cs="Times New Roman"/>
          <w:bCs/>
          <w:sz w:val="24"/>
        </w:rPr>
        <w:t>同意,不得泄露与本工程、本合同业务活动有关的保密资料。</w:t>
      </w:r>
    </w:p>
    <w:p w14:paraId="39883D30">
      <w:pPr>
        <w:tabs>
          <w:tab w:val="left" w:pos="851"/>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bCs/>
          <w:sz w:val="24"/>
        </w:rPr>
        <w:t>（</w:t>
      </w:r>
      <w:r>
        <w:rPr>
          <w:rFonts w:ascii="宋体" w:hAnsi="宋体" w:eastAsia="宋体" w:cs="Times New Roman"/>
          <w:bCs/>
          <w:sz w:val="24"/>
        </w:rPr>
        <w:t>2）参与建设工程重大质量事故分析。</w:t>
      </w:r>
    </w:p>
    <w:p w14:paraId="3AA03267">
      <w:pPr>
        <w:tabs>
          <w:tab w:val="left" w:pos="851"/>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kern w:val="0"/>
          <w:sz w:val="24"/>
        </w:rPr>
        <w:t>（</w:t>
      </w:r>
      <w:r>
        <w:rPr>
          <w:rFonts w:ascii="宋体" w:hAnsi="宋体" w:eastAsia="宋体" w:cs="Times New Roman"/>
          <w:kern w:val="0"/>
          <w:sz w:val="24"/>
        </w:rPr>
        <w:t>3）</w:t>
      </w:r>
      <w:r>
        <w:rPr>
          <w:rFonts w:hint="eastAsia" w:ascii="宋体" w:hAnsi="宋体" w:eastAsia="宋体" w:cs="Times New Roman"/>
          <w:kern w:val="0"/>
          <w:sz w:val="24"/>
        </w:rPr>
        <w:t>受托人</w:t>
      </w:r>
      <w:r>
        <w:rPr>
          <w:rFonts w:ascii="宋体" w:hAnsi="宋体" w:eastAsia="宋体" w:cs="Times New Roman"/>
          <w:kern w:val="0"/>
          <w:sz w:val="24"/>
        </w:rPr>
        <w:t>应按“工作任务书”要求配置人员，掌握设计情况，及时发现设计中存在的问题并提出意见、协调解决。</w:t>
      </w:r>
    </w:p>
    <w:p w14:paraId="2EBA7CB3">
      <w:pPr>
        <w:tabs>
          <w:tab w:val="left" w:pos="851"/>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kern w:val="0"/>
          <w:sz w:val="24"/>
        </w:rPr>
        <w:t>（</w:t>
      </w:r>
      <w:r>
        <w:rPr>
          <w:rFonts w:ascii="宋体" w:hAnsi="宋体" w:eastAsia="宋体" w:cs="Times New Roman"/>
          <w:kern w:val="0"/>
          <w:sz w:val="24"/>
        </w:rPr>
        <w:t>4）</w:t>
      </w:r>
      <w:r>
        <w:rPr>
          <w:rFonts w:hint="eastAsia" w:ascii="宋体" w:hAnsi="宋体" w:eastAsia="宋体" w:cs="Times New Roman"/>
          <w:kern w:val="0"/>
          <w:sz w:val="24"/>
        </w:rPr>
        <w:t>受托人</w:t>
      </w:r>
      <w:r>
        <w:rPr>
          <w:rFonts w:ascii="宋体" w:hAnsi="宋体" w:eastAsia="宋体" w:cs="Times New Roman"/>
          <w:kern w:val="0"/>
          <w:sz w:val="24"/>
        </w:rPr>
        <w:t>应及时协调解决设计中的超限问题。</w:t>
      </w:r>
    </w:p>
    <w:p w14:paraId="434EAC5A">
      <w:pPr>
        <w:tabs>
          <w:tab w:val="left" w:pos="851"/>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kern w:val="0"/>
          <w:sz w:val="24"/>
        </w:rPr>
        <w:t>（</w:t>
      </w:r>
      <w:r>
        <w:rPr>
          <w:rFonts w:ascii="宋体" w:hAnsi="宋体" w:eastAsia="宋体" w:cs="Times New Roman"/>
          <w:kern w:val="0"/>
          <w:sz w:val="24"/>
        </w:rPr>
        <w:t>5）</w:t>
      </w:r>
      <w:r>
        <w:rPr>
          <w:rFonts w:hint="eastAsia" w:ascii="宋体" w:hAnsi="宋体" w:eastAsia="宋体" w:cs="Times New Roman"/>
          <w:kern w:val="0"/>
          <w:sz w:val="24"/>
        </w:rPr>
        <w:t>受托人</w:t>
      </w:r>
      <w:r>
        <w:rPr>
          <w:rFonts w:ascii="宋体" w:hAnsi="宋体" w:eastAsia="宋体" w:cs="Times New Roman"/>
          <w:kern w:val="0"/>
          <w:sz w:val="24"/>
        </w:rPr>
        <w:t>应按国家及深圳市地方现行的强制性技术规范、标准、规程、行政主管部门有关本工程的审批文件及</w:t>
      </w:r>
      <w:r>
        <w:rPr>
          <w:rFonts w:hint="eastAsia" w:ascii="宋体" w:hAnsi="宋体" w:eastAsia="宋体" w:cs="Times New Roman"/>
          <w:kern w:val="0"/>
          <w:sz w:val="24"/>
        </w:rPr>
        <w:t>委托人</w:t>
      </w:r>
      <w:r>
        <w:rPr>
          <w:rFonts w:ascii="宋体" w:hAnsi="宋体" w:eastAsia="宋体" w:cs="Times New Roman"/>
          <w:kern w:val="0"/>
          <w:sz w:val="24"/>
        </w:rPr>
        <w:t>提出的审查要求进行</w:t>
      </w:r>
      <w:r>
        <w:rPr>
          <w:rFonts w:hint="eastAsia" w:ascii="宋体" w:hAnsi="宋体" w:eastAsia="宋体" w:cs="Times New Roman"/>
          <w:kern w:val="0"/>
          <w:sz w:val="24"/>
        </w:rPr>
        <w:t>设计</w:t>
      </w:r>
      <w:r>
        <w:rPr>
          <w:rFonts w:ascii="宋体" w:hAnsi="宋体" w:eastAsia="宋体" w:cs="Times New Roman"/>
          <w:kern w:val="0"/>
          <w:sz w:val="24"/>
        </w:rPr>
        <w:t>图设计文件审查，并按合同规定的进度要求提交审查报告，并对</w:t>
      </w:r>
      <w:r>
        <w:rPr>
          <w:rFonts w:hint="eastAsia" w:ascii="宋体" w:hAnsi="宋体" w:eastAsia="宋体" w:cs="Times New Roman"/>
          <w:kern w:val="0"/>
          <w:sz w:val="24"/>
        </w:rPr>
        <w:t>设计咨询服务</w:t>
      </w:r>
      <w:r>
        <w:rPr>
          <w:rFonts w:ascii="宋体" w:hAnsi="宋体" w:eastAsia="宋体" w:cs="Times New Roman"/>
          <w:kern w:val="0"/>
          <w:sz w:val="24"/>
        </w:rPr>
        <w:t>工作负责，承担审查责任。</w:t>
      </w:r>
    </w:p>
    <w:p w14:paraId="3C36E3EB">
      <w:pPr>
        <w:tabs>
          <w:tab w:val="left" w:pos="851"/>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kern w:val="0"/>
          <w:sz w:val="24"/>
        </w:rPr>
        <w:t>（</w:t>
      </w:r>
      <w:r>
        <w:rPr>
          <w:rFonts w:ascii="宋体" w:hAnsi="宋体" w:eastAsia="宋体" w:cs="Times New Roman"/>
          <w:kern w:val="0"/>
          <w:sz w:val="24"/>
        </w:rPr>
        <w:t>6）</w:t>
      </w:r>
      <w:r>
        <w:rPr>
          <w:rFonts w:hint="eastAsia" w:ascii="宋体" w:hAnsi="宋体" w:eastAsia="宋体" w:cs="Times New Roman"/>
          <w:kern w:val="0"/>
          <w:sz w:val="24"/>
        </w:rPr>
        <w:t>受托人</w:t>
      </w:r>
      <w:r>
        <w:rPr>
          <w:rFonts w:ascii="宋体" w:hAnsi="宋体" w:eastAsia="宋体" w:cs="Times New Roman"/>
          <w:kern w:val="0"/>
          <w:sz w:val="24"/>
        </w:rPr>
        <w:t>保证人员的业务素质，遵守职业道德，确保工作的公正性、科学性和合理性。</w:t>
      </w:r>
    </w:p>
    <w:p w14:paraId="20D28571">
      <w:pPr>
        <w:tabs>
          <w:tab w:val="left" w:pos="851"/>
        </w:tabs>
        <w:adjustRightInd w:val="0"/>
        <w:snapToGrid w:val="0"/>
        <w:spacing w:line="360" w:lineRule="auto"/>
        <w:ind w:firstLine="480" w:firstLineChars="200"/>
        <w:rPr>
          <w:rFonts w:hint="eastAsia" w:ascii="宋体" w:hAnsi="宋体" w:eastAsia="宋体" w:cs="Times New Roman"/>
          <w:bCs/>
          <w:sz w:val="24"/>
        </w:rPr>
      </w:pPr>
      <w:r>
        <w:rPr>
          <w:rFonts w:hint="eastAsia" w:ascii="宋体" w:hAnsi="宋体" w:eastAsia="宋体" w:cs="Times New Roman"/>
          <w:kern w:val="0"/>
          <w:sz w:val="24"/>
        </w:rPr>
        <w:t>（</w:t>
      </w:r>
      <w:r>
        <w:rPr>
          <w:rFonts w:ascii="宋体" w:hAnsi="宋体" w:eastAsia="宋体" w:cs="Times New Roman"/>
          <w:kern w:val="0"/>
          <w:sz w:val="24"/>
        </w:rPr>
        <w:t>7）</w:t>
      </w:r>
      <w:r>
        <w:rPr>
          <w:rFonts w:hint="eastAsia" w:ascii="宋体" w:hAnsi="宋体" w:eastAsia="宋体" w:cs="Times New Roman"/>
          <w:kern w:val="0"/>
          <w:sz w:val="24"/>
        </w:rPr>
        <w:t>受托人</w:t>
      </w:r>
      <w:r>
        <w:rPr>
          <w:rFonts w:ascii="宋体" w:hAnsi="宋体" w:eastAsia="宋体" w:cs="Times New Roman"/>
          <w:kern w:val="0"/>
          <w:sz w:val="24"/>
        </w:rPr>
        <w:t>按本合同规定的内容、时间及份数向</w:t>
      </w:r>
      <w:r>
        <w:rPr>
          <w:rFonts w:hint="eastAsia" w:ascii="宋体" w:hAnsi="宋体" w:eastAsia="宋体" w:cs="Times New Roman"/>
          <w:kern w:val="0"/>
          <w:sz w:val="24"/>
        </w:rPr>
        <w:t>委托人</w:t>
      </w:r>
      <w:r>
        <w:rPr>
          <w:rFonts w:ascii="宋体" w:hAnsi="宋体" w:eastAsia="宋体" w:cs="Times New Roman"/>
          <w:kern w:val="0"/>
          <w:sz w:val="24"/>
        </w:rPr>
        <w:t>提交工作成果文件。</w:t>
      </w:r>
    </w:p>
    <w:p w14:paraId="4755F613">
      <w:pPr>
        <w:tabs>
          <w:tab w:val="left" w:pos="851"/>
        </w:tabs>
        <w:adjustRightInd w:val="0"/>
        <w:snapToGrid w:val="0"/>
        <w:spacing w:line="360" w:lineRule="auto"/>
        <w:ind w:firstLine="480" w:firstLineChars="200"/>
        <w:rPr>
          <w:rFonts w:hint="eastAsia"/>
        </w:rPr>
      </w:pPr>
      <w:r>
        <w:rPr>
          <w:rFonts w:hint="eastAsia" w:ascii="宋体" w:hAnsi="宋体" w:eastAsia="宋体" w:cs="Times New Roman"/>
          <w:bCs/>
          <w:sz w:val="24"/>
        </w:rPr>
        <w:t>（</w:t>
      </w:r>
      <w:r>
        <w:rPr>
          <w:rFonts w:ascii="宋体" w:hAnsi="宋体" w:eastAsia="宋体" w:cs="Times New Roman"/>
          <w:bCs/>
          <w:sz w:val="24"/>
        </w:rPr>
        <w:t>8）按合同规定提出合同费支付申请。</w:t>
      </w:r>
    </w:p>
    <w:p w14:paraId="47CE0F51">
      <w:pPr>
        <w:tabs>
          <w:tab w:val="left" w:pos="851"/>
        </w:tabs>
        <w:adjustRightInd w:val="0"/>
        <w:snapToGrid w:val="0"/>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（9）项目无用地证等需办理提前介入的，受托人需配合沟通相关部门并出具审查合格证等相关满足报建要求的材料。</w:t>
      </w:r>
    </w:p>
    <w:p w14:paraId="472E7D27">
      <w:pPr>
        <w:autoSpaceDE w:val="0"/>
        <w:autoSpaceDN w:val="0"/>
        <w:adjustRightInd w:val="0"/>
        <w:snapToGrid w:val="0"/>
        <w:spacing w:line="360" w:lineRule="auto"/>
        <w:ind w:left="482"/>
        <w:jc w:val="left"/>
        <w:rPr>
          <w:rFonts w:hint="eastAsia" w:ascii="宋体" w:hAnsi="宋体" w:eastAsia="宋体" w:cs="Times New Roman"/>
          <w:b/>
          <w:sz w:val="24"/>
        </w:rPr>
      </w:pPr>
      <w:bookmarkStart w:id="9" w:name="_Hlk201844202"/>
      <w:r>
        <w:rPr>
          <w:rFonts w:hint="eastAsia" w:ascii="宋体" w:hAnsi="宋体" w:eastAsia="宋体" w:cs="Times New Roman"/>
          <w:b/>
          <w:sz w:val="24"/>
        </w:rPr>
        <w:t>20</w:t>
      </w:r>
      <w:r>
        <w:rPr>
          <w:rFonts w:ascii="宋体" w:hAnsi="宋体" w:eastAsia="宋体" w:cs="Times New Roman"/>
          <w:b/>
          <w:sz w:val="24"/>
        </w:rPr>
        <w:t>、违约责任</w:t>
      </w:r>
    </w:p>
    <w:tbl>
      <w:tblPr>
        <w:tblStyle w:val="80"/>
        <w:tblW w:w="86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30"/>
        <w:gridCol w:w="4100"/>
        <w:gridCol w:w="3827"/>
      </w:tblGrid>
      <w:tr w14:paraId="6AFA0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0" w:hRule="atLeast"/>
        </w:trPr>
        <w:tc>
          <w:tcPr>
            <w:tcW w:w="730" w:type="dxa"/>
            <w:tcMar>
              <w:top w:w="10" w:type="dxa"/>
              <w:left w:w="10" w:type="dxa"/>
              <w:right w:w="10" w:type="dxa"/>
            </w:tcMar>
            <w:vAlign w:val="center"/>
          </w:tcPr>
          <w:p w14:paraId="5D841C21">
            <w:pPr>
              <w:widowControl/>
              <w:spacing w:before="156" w:beforeLines="50"/>
              <w:ind w:left="165"/>
              <w:jc w:val="center"/>
              <w:textAlignment w:val="center"/>
              <w:rPr>
                <w:rFonts w:hint="eastAsia" w:ascii="宋体" w:hAnsi="宋体" w:eastAsia="宋体" w:cs="宋体"/>
                <w:b/>
                <w:sz w:val="24"/>
                <w:szCs w:val="24"/>
              </w:rPr>
            </w:pPr>
            <w:r>
              <w:rPr>
                <w:rFonts w:hint="eastAsia" w:ascii="宋体" w:hAnsi="宋体" w:eastAsia="宋体" w:cs="宋体"/>
                <w:b/>
                <w:sz w:val="24"/>
                <w:szCs w:val="24"/>
              </w:rPr>
              <w:t>序号</w:t>
            </w:r>
          </w:p>
        </w:tc>
        <w:tc>
          <w:tcPr>
            <w:tcW w:w="4100" w:type="dxa"/>
            <w:tcMar>
              <w:top w:w="10" w:type="dxa"/>
              <w:left w:w="10" w:type="dxa"/>
              <w:right w:w="10" w:type="dxa"/>
            </w:tcMar>
            <w:vAlign w:val="center"/>
          </w:tcPr>
          <w:p w14:paraId="30380B76">
            <w:pPr>
              <w:widowControl/>
              <w:spacing w:before="156" w:beforeLines="50"/>
              <w:ind w:left="165"/>
              <w:jc w:val="center"/>
              <w:textAlignment w:val="center"/>
              <w:rPr>
                <w:rFonts w:hint="eastAsia" w:ascii="宋体" w:hAnsi="宋体" w:eastAsia="宋体" w:cs="宋体"/>
                <w:b/>
                <w:sz w:val="24"/>
                <w:szCs w:val="24"/>
              </w:rPr>
            </w:pPr>
            <w:r>
              <w:rPr>
                <w:rFonts w:hint="eastAsia" w:ascii="宋体" w:hAnsi="宋体" w:eastAsia="宋体" w:cs="宋体"/>
                <w:b/>
                <w:sz w:val="24"/>
                <w:szCs w:val="24"/>
              </w:rPr>
              <w:t>违约条款内容</w:t>
            </w:r>
          </w:p>
        </w:tc>
        <w:tc>
          <w:tcPr>
            <w:tcW w:w="3827" w:type="dxa"/>
            <w:tcMar>
              <w:top w:w="10" w:type="dxa"/>
              <w:left w:w="10" w:type="dxa"/>
              <w:right w:w="10" w:type="dxa"/>
            </w:tcMar>
            <w:vAlign w:val="center"/>
          </w:tcPr>
          <w:p w14:paraId="711C6FCD">
            <w:pPr>
              <w:widowControl/>
              <w:spacing w:before="156" w:beforeLines="50"/>
              <w:ind w:left="165"/>
              <w:jc w:val="center"/>
              <w:textAlignment w:val="center"/>
              <w:rPr>
                <w:rFonts w:hint="eastAsia" w:ascii="宋体" w:hAnsi="宋体" w:eastAsia="宋体" w:cs="宋体"/>
                <w:b/>
                <w:sz w:val="24"/>
                <w:szCs w:val="24"/>
              </w:rPr>
            </w:pPr>
            <w:r>
              <w:rPr>
                <w:rFonts w:hint="eastAsia" w:ascii="宋体" w:hAnsi="宋体" w:eastAsia="宋体" w:cs="宋体"/>
                <w:b/>
                <w:sz w:val="24"/>
                <w:szCs w:val="24"/>
              </w:rPr>
              <w:t>处罚细则</w:t>
            </w:r>
          </w:p>
        </w:tc>
      </w:tr>
      <w:tr w14:paraId="4DFA0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0" w:hRule="atLeast"/>
        </w:trPr>
        <w:tc>
          <w:tcPr>
            <w:tcW w:w="730" w:type="dxa"/>
            <w:noWrap/>
            <w:tcMar>
              <w:top w:w="10" w:type="dxa"/>
              <w:left w:w="10" w:type="dxa"/>
              <w:right w:w="10" w:type="dxa"/>
            </w:tcMar>
            <w:vAlign w:val="center"/>
          </w:tcPr>
          <w:p w14:paraId="14B8C7F2">
            <w:pPr>
              <w:widowControl/>
              <w:spacing w:before="156" w:beforeLines="50"/>
              <w:ind w:left="158" w:leftChars="75"/>
              <w:jc w:val="center"/>
              <w:textAlignment w:val="center"/>
              <w:rPr>
                <w:rFonts w:hint="eastAsia" w:ascii="宋体" w:hAnsi="宋体" w:eastAsia="宋体" w:cs="宋体"/>
                <w:bCs/>
                <w:sz w:val="24"/>
                <w:szCs w:val="24"/>
              </w:rPr>
            </w:pPr>
            <w:r>
              <w:rPr>
                <w:rFonts w:hint="eastAsia" w:ascii="宋体" w:hAnsi="宋体" w:eastAsia="宋体" w:cs="宋体"/>
                <w:bCs/>
                <w:sz w:val="24"/>
                <w:szCs w:val="24"/>
              </w:rPr>
              <w:t>1</w:t>
            </w:r>
          </w:p>
        </w:tc>
        <w:tc>
          <w:tcPr>
            <w:tcW w:w="4100" w:type="dxa"/>
            <w:tcMar>
              <w:top w:w="10" w:type="dxa"/>
              <w:left w:w="10" w:type="dxa"/>
              <w:right w:w="10" w:type="dxa"/>
            </w:tcMar>
            <w:vAlign w:val="center"/>
          </w:tcPr>
          <w:p w14:paraId="0FDB3967">
            <w:pPr>
              <w:widowControl/>
              <w:spacing w:line="360" w:lineRule="auto"/>
              <w:jc w:val="left"/>
              <w:rPr>
                <w:rFonts w:hint="eastAsia" w:ascii="宋体" w:hAnsi="宋体" w:eastAsia="宋体" w:cs="宋体"/>
                <w:sz w:val="24"/>
                <w:szCs w:val="24"/>
              </w:rPr>
            </w:pPr>
            <w:r>
              <w:rPr>
                <w:rFonts w:hint="eastAsia" w:ascii="宋体" w:hAnsi="宋体" w:eastAsia="宋体" w:cs="宋体"/>
                <w:kern w:val="0"/>
                <w:sz w:val="24"/>
                <w:szCs w:val="24"/>
              </w:rPr>
              <w:t>乙方未按合同约定，委派设计人员常驻配合相关工作，或</w:t>
            </w:r>
            <w:r>
              <w:rPr>
                <w:rFonts w:hint="eastAsia" w:ascii="宋体" w:hAnsi="宋体" w:eastAsia="宋体" w:cs="宋体"/>
                <w:sz w:val="24"/>
                <w:szCs w:val="24"/>
              </w:rPr>
              <w:t>未经甲方同意，乙方派驻甲方办公或驻场的人员擅自离岗或旷工，</w:t>
            </w:r>
            <w:r>
              <w:rPr>
                <w:rFonts w:hint="eastAsia" w:ascii="宋体" w:hAnsi="宋体" w:eastAsia="宋体" w:cs="宋体"/>
                <w:kern w:val="0"/>
                <w:sz w:val="24"/>
                <w:szCs w:val="24"/>
              </w:rPr>
              <w:t>甲方有权作出相应处罚。</w:t>
            </w:r>
          </w:p>
        </w:tc>
        <w:tc>
          <w:tcPr>
            <w:tcW w:w="3827" w:type="dxa"/>
            <w:tcMar>
              <w:top w:w="10" w:type="dxa"/>
              <w:left w:w="10" w:type="dxa"/>
              <w:right w:w="10" w:type="dxa"/>
            </w:tcMar>
            <w:vAlign w:val="center"/>
          </w:tcPr>
          <w:p w14:paraId="6835D784">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①未委派人员，乙方应向甲方支付人民币5万元/人的违约金。</w:t>
            </w:r>
          </w:p>
          <w:p w14:paraId="7499DE82">
            <w:pPr>
              <w:widowControl/>
              <w:spacing w:line="360" w:lineRule="auto"/>
              <w:jc w:val="left"/>
              <w:rPr>
                <w:rFonts w:hint="eastAsia" w:ascii="宋体" w:hAnsi="宋体" w:eastAsia="宋体" w:cs="宋体"/>
                <w:sz w:val="24"/>
                <w:szCs w:val="24"/>
              </w:rPr>
            </w:pPr>
            <w:r>
              <w:rPr>
                <w:rFonts w:hint="eastAsia" w:ascii="宋体" w:hAnsi="宋体" w:eastAsia="宋体" w:cs="宋体"/>
                <w:kern w:val="0"/>
                <w:sz w:val="24"/>
                <w:szCs w:val="24"/>
              </w:rPr>
              <w:t>②委派人员</w:t>
            </w:r>
            <w:r>
              <w:rPr>
                <w:rFonts w:hint="eastAsia" w:ascii="宋体" w:hAnsi="宋体" w:eastAsia="宋体" w:cs="宋体"/>
                <w:sz w:val="24"/>
                <w:szCs w:val="24"/>
              </w:rPr>
              <w:t>擅自离岗或旷工，按1000元/次/天处罚。</w:t>
            </w:r>
          </w:p>
        </w:tc>
      </w:tr>
      <w:tr w14:paraId="04E4B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30" w:type="dxa"/>
            <w:noWrap/>
            <w:tcMar>
              <w:top w:w="10" w:type="dxa"/>
              <w:left w:w="10" w:type="dxa"/>
              <w:right w:w="10" w:type="dxa"/>
            </w:tcMar>
            <w:vAlign w:val="center"/>
          </w:tcPr>
          <w:p w14:paraId="0D26CA10">
            <w:pPr>
              <w:widowControl/>
              <w:spacing w:before="156" w:beforeLines="50"/>
              <w:ind w:left="158" w:leftChars="75"/>
              <w:jc w:val="center"/>
              <w:textAlignment w:val="center"/>
              <w:rPr>
                <w:rFonts w:hint="eastAsia" w:ascii="宋体" w:hAnsi="宋体" w:eastAsia="宋体" w:cs="宋体"/>
                <w:bCs/>
                <w:sz w:val="24"/>
                <w:szCs w:val="24"/>
              </w:rPr>
            </w:pPr>
            <w:r>
              <w:rPr>
                <w:rFonts w:hint="eastAsia" w:ascii="宋体" w:hAnsi="宋体" w:eastAsia="宋体" w:cs="宋体"/>
                <w:bCs/>
                <w:sz w:val="24"/>
                <w:szCs w:val="24"/>
              </w:rPr>
              <w:t>2</w:t>
            </w:r>
          </w:p>
        </w:tc>
        <w:tc>
          <w:tcPr>
            <w:tcW w:w="4100" w:type="dxa"/>
            <w:tcMar>
              <w:top w:w="10" w:type="dxa"/>
              <w:left w:w="10" w:type="dxa"/>
              <w:right w:w="10" w:type="dxa"/>
            </w:tcMar>
            <w:vAlign w:val="center"/>
          </w:tcPr>
          <w:p w14:paraId="24227ED0">
            <w:pPr>
              <w:widowControl/>
              <w:spacing w:line="360" w:lineRule="auto"/>
              <w:jc w:val="left"/>
              <w:rPr>
                <w:rFonts w:hint="eastAsia" w:ascii="宋体" w:hAnsi="宋体" w:eastAsia="宋体" w:cs="宋体"/>
                <w:sz w:val="24"/>
                <w:szCs w:val="24"/>
              </w:rPr>
            </w:pPr>
            <w:r>
              <w:rPr>
                <w:rFonts w:hint="eastAsia" w:ascii="宋体" w:hAnsi="宋体" w:eastAsia="宋体" w:cs="宋体"/>
                <w:kern w:val="0"/>
                <w:sz w:val="24"/>
                <w:szCs w:val="24"/>
              </w:rPr>
              <w:t>甲方提前一天通知（紧急情况随时通知）乙方参加工程验收、现场问题处理、设计例会及工程例会、汇报等会议</w:t>
            </w:r>
            <w:r>
              <w:rPr>
                <w:rFonts w:hint="eastAsia" w:ascii="宋体" w:hAnsi="宋体" w:eastAsia="宋体" w:cs="宋体"/>
                <w:sz w:val="24"/>
                <w:szCs w:val="24"/>
              </w:rPr>
              <w:t>等，</w:t>
            </w:r>
            <w:r>
              <w:rPr>
                <w:rFonts w:hint="eastAsia" w:ascii="宋体" w:hAnsi="宋体" w:eastAsia="宋体" w:cs="宋体"/>
                <w:kern w:val="0"/>
                <w:sz w:val="24"/>
                <w:szCs w:val="24"/>
              </w:rPr>
              <w:t>乙方无故迟到或无故缺席会议的，甲方有权作出相应处罚。</w:t>
            </w:r>
          </w:p>
        </w:tc>
        <w:tc>
          <w:tcPr>
            <w:tcW w:w="3827" w:type="dxa"/>
            <w:tcMar>
              <w:top w:w="10" w:type="dxa"/>
              <w:left w:w="10" w:type="dxa"/>
              <w:right w:w="10" w:type="dxa"/>
            </w:tcMar>
            <w:vAlign w:val="center"/>
          </w:tcPr>
          <w:p w14:paraId="5A67B17A">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①需项目负责人参加的，项目负责人迟到或缺席应向甲方支付5000元/次的违约金；</w:t>
            </w:r>
          </w:p>
          <w:p w14:paraId="57106CD6">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②需主要设计人参加，主要设计人迟到或缺席则应向甲方支付3000元/次/人的违约金；</w:t>
            </w:r>
          </w:p>
          <w:p w14:paraId="2C2C2D94">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③需其他人员参加，如迟到或缺席应向甲方支付2000元/次/人的违约金。</w:t>
            </w:r>
          </w:p>
          <w:p w14:paraId="35DD4675">
            <w:pPr>
              <w:widowControl/>
              <w:spacing w:line="360" w:lineRule="auto"/>
              <w:jc w:val="left"/>
              <w:rPr>
                <w:rFonts w:hint="eastAsia" w:ascii="宋体" w:hAnsi="宋体" w:eastAsia="宋体" w:cs="宋体"/>
                <w:sz w:val="24"/>
                <w:szCs w:val="24"/>
              </w:rPr>
            </w:pPr>
            <w:r>
              <w:rPr>
                <w:rFonts w:hint="eastAsia" w:ascii="宋体" w:hAnsi="宋体" w:eastAsia="宋体" w:cs="宋体"/>
                <w:kern w:val="0"/>
                <w:sz w:val="24"/>
                <w:szCs w:val="24"/>
              </w:rPr>
              <w:t>④</w:t>
            </w:r>
            <w:r>
              <w:rPr>
                <w:rFonts w:hint="eastAsia" w:ascii="宋体" w:hAnsi="宋体" w:eastAsia="宋体" w:cs="宋体"/>
                <w:sz w:val="24"/>
                <w:szCs w:val="24"/>
              </w:rPr>
              <w:t>项目设计负责人、各专业设计负责人未按时参加各类会议超5次的，甲方有权扣除该阶段付款金额的20%作为罚款。</w:t>
            </w:r>
          </w:p>
        </w:tc>
      </w:tr>
      <w:tr w14:paraId="362C7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30" w:type="dxa"/>
            <w:noWrap/>
            <w:tcMar>
              <w:top w:w="10" w:type="dxa"/>
              <w:left w:w="10" w:type="dxa"/>
              <w:right w:w="10" w:type="dxa"/>
            </w:tcMar>
            <w:vAlign w:val="center"/>
          </w:tcPr>
          <w:p w14:paraId="559E79BB">
            <w:pPr>
              <w:widowControl/>
              <w:spacing w:before="156" w:beforeLines="50"/>
              <w:ind w:left="158" w:leftChars="75"/>
              <w:jc w:val="center"/>
              <w:textAlignment w:val="center"/>
              <w:rPr>
                <w:rFonts w:hint="eastAsia" w:ascii="宋体" w:hAnsi="宋体" w:eastAsia="宋体" w:cs="宋体"/>
                <w:bCs/>
                <w:sz w:val="24"/>
                <w:szCs w:val="24"/>
              </w:rPr>
            </w:pPr>
            <w:r>
              <w:rPr>
                <w:rFonts w:hint="eastAsia" w:ascii="宋体" w:hAnsi="宋体" w:eastAsia="宋体" w:cs="宋体"/>
                <w:bCs/>
                <w:sz w:val="24"/>
                <w:szCs w:val="24"/>
              </w:rPr>
              <w:t>3</w:t>
            </w:r>
          </w:p>
        </w:tc>
        <w:tc>
          <w:tcPr>
            <w:tcW w:w="4100" w:type="dxa"/>
            <w:tcMar>
              <w:top w:w="10" w:type="dxa"/>
              <w:left w:w="10" w:type="dxa"/>
              <w:right w:w="10" w:type="dxa"/>
            </w:tcMar>
            <w:vAlign w:val="center"/>
          </w:tcPr>
          <w:p w14:paraId="3BB0DFDD">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未经甲方书面认可，乙方在设计咨询过程中任意变更项目负责人及各专业人员，或者甲方要求更换项目负责人或各专业人员的，乙方未及时更换或拒不更换的，</w:t>
            </w:r>
            <w:r>
              <w:rPr>
                <w:rFonts w:hint="eastAsia" w:ascii="宋体" w:hAnsi="宋体" w:eastAsia="宋体" w:cs="宋体"/>
                <w:kern w:val="0"/>
                <w:sz w:val="24"/>
                <w:szCs w:val="24"/>
              </w:rPr>
              <w:t>甲方有权作出相应处罚。</w:t>
            </w:r>
          </w:p>
        </w:tc>
        <w:tc>
          <w:tcPr>
            <w:tcW w:w="3827" w:type="dxa"/>
            <w:tcMar>
              <w:top w:w="10" w:type="dxa"/>
              <w:left w:w="10" w:type="dxa"/>
              <w:right w:w="10" w:type="dxa"/>
            </w:tcMar>
            <w:vAlign w:val="center"/>
          </w:tcPr>
          <w:p w14:paraId="0B88EE77">
            <w:pPr>
              <w:widowControl/>
              <w:spacing w:line="360" w:lineRule="auto"/>
              <w:jc w:val="left"/>
              <w:rPr>
                <w:rFonts w:hint="eastAsia" w:ascii="宋体" w:hAnsi="宋体" w:eastAsia="宋体" w:cs="宋体"/>
                <w:sz w:val="24"/>
                <w:szCs w:val="24"/>
              </w:rPr>
            </w:pPr>
            <w:r>
              <w:rPr>
                <w:rFonts w:hint="eastAsia" w:ascii="宋体" w:hAnsi="宋体" w:eastAsia="宋体" w:cs="宋体"/>
                <w:kern w:val="0"/>
                <w:sz w:val="24"/>
                <w:szCs w:val="24"/>
              </w:rPr>
              <w:t>①擅自</w:t>
            </w:r>
            <w:r>
              <w:rPr>
                <w:rFonts w:hint="eastAsia" w:ascii="宋体" w:hAnsi="宋体" w:eastAsia="宋体" w:cs="宋体"/>
                <w:sz w:val="24"/>
                <w:szCs w:val="24"/>
              </w:rPr>
              <w:t>变更项目设计负责人,乙方须向甲方支付违约金50000元/人次，</w:t>
            </w:r>
            <w:r>
              <w:rPr>
                <w:rFonts w:hint="eastAsia" w:ascii="宋体" w:hAnsi="宋体" w:eastAsia="宋体" w:cs="宋体"/>
                <w:kern w:val="0"/>
                <w:sz w:val="24"/>
                <w:szCs w:val="24"/>
              </w:rPr>
              <w:t>擅自</w:t>
            </w:r>
            <w:r>
              <w:rPr>
                <w:rFonts w:hint="eastAsia" w:ascii="宋体" w:hAnsi="宋体" w:eastAsia="宋体" w:cs="宋体"/>
                <w:sz w:val="24"/>
                <w:szCs w:val="24"/>
              </w:rPr>
              <w:t>变更各专业负责人乙方须向甲方支付违约金20000元/人次。</w:t>
            </w:r>
          </w:p>
          <w:p w14:paraId="1F310228">
            <w:pPr>
              <w:widowControl/>
              <w:spacing w:line="360" w:lineRule="auto"/>
              <w:jc w:val="left"/>
              <w:rPr>
                <w:rFonts w:hint="eastAsia" w:ascii="宋体" w:hAnsi="宋体" w:eastAsia="宋体" w:cs="宋体"/>
                <w:sz w:val="24"/>
                <w:szCs w:val="24"/>
              </w:rPr>
            </w:pPr>
            <w:r>
              <w:rPr>
                <w:rFonts w:hint="eastAsia" w:ascii="宋体" w:hAnsi="宋体" w:eastAsia="宋体" w:cs="宋体"/>
                <w:kern w:val="0"/>
                <w:sz w:val="24"/>
                <w:szCs w:val="24"/>
              </w:rPr>
              <w:t>②</w:t>
            </w:r>
            <w:r>
              <w:rPr>
                <w:rFonts w:hint="eastAsia" w:ascii="宋体" w:hAnsi="宋体" w:eastAsia="宋体" w:cs="宋体"/>
                <w:sz w:val="24"/>
                <w:szCs w:val="24"/>
              </w:rPr>
              <w:t>如出现某专业设计咨询文件不符合甲方要求，甲方要求乙方更换相关人员，乙方须根据甲方要求及时更换该人员，如7日内未按甲方要求更换，乙方应向甲方支付违约金5000元/人次，且仍继续更换至满足甲方要求为止。</w:t>
            </w:r>
          </w:p>
        </w:tc>
      </w:tr>
      <w:tr w14:paraId="4F2AB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30" w:type="dxa"/>
            <w:noWrap/>
            <w:tcMar>
              <w:top w:w="10" w:type="dxa"/>
              <w:left w:w="10" w:type="dxa"/>
              <w:right w:w="10" w:type="dxa"/>
            </w:tcMar>
            <w:vAlign w:val="center"/>
          </w:tcPr>
          <w:p w14:paraId="620A30F5">
            <w:pPr>
              <w:widowControl/>
              <w:spacing w:before="156" w:beforeLines="50"/>
              <w:ind w:left="158" w:leftChars="75"/>
              <w:jc w:val="center"/>
              <w:textAlignment w:val="center"/>
              <w:rPr>
                <w:rFonts w:hint="eastAsia" w:ascii="宋体" w:hAnsi="宋体" w:eastAsia="宋体" w:cs="宋体"/>
                <w:bCs/>
                <w:sz w:val="24"/>
                <w:szCs w:val="24"/>
              </w:rPr>
            </w:pPr>
            <w:r>
              <w:rPr>
                <w:rFonts w:hint="eastAsia" w:ascii="宋体" w:hAnsi="宋体" w:eastAsia="宋体" w:cs="宋体"/>
                <w:bCs/>
                <w:sz w:val="24"/>
                <w:szCs w:val="24"/>
              </w:rPr>
              <w:t>4</w:t>
            </w:r>
          </w:p>
        </w:tc>
        <w:tc>
          <w:tcPr>
            <w:tcW w:w="4100" w:type="dxa"/>
            <w:tcMar>
              <w:top w:w="10" w:type="dxa"/>
              <w:left w:w="10" w:type="dxa"/>
              <w:right w:w="10" w:type="dxa"/>
            </w:tcMar>
            <w:vAlign w:val="center"/>
          </w:tcPr>
          <w:p w14:paraId="3C050677">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乙方如因非不可抗力因素（如自然灾害，意外等）应对甲方指令应2小时内未回复，或者消极、懈怠、推诿、拖延等情况，</w:t>
            </w:r>
            <w:r>
              <w:rPr>
                <w:rFonts w:hint="eastAsia" w:ascii="宋体" w:hAnsi="宋体" w:eastAsia="宋体" w:cs="宋体"/>
                <w:kern w:val="0"/>
                <w:sz w:val="24"/>
                <w:szCs w:val="24"/>
              </w:rPr>
              <w:t>甲方有权作出相应处理。</w:t>
            </w:r>
          </w:p>
        </w:tc>
        <w:tc>
          <w:tcPr>
            <w:tcW w:w="3827" w:type="dxa"/>
            <w:tcMar>
              <w:top w:w="10" w:type="dxa"/>
              <w:left w:w="10" w:type="dxa"/>
              <w:right w:w="10" w:type="dxa"/>
            </w:tcMar>
            <w:vAlign w:val="center"/>
          </w:tcPr>
          <w:p w14:paraId="27D5C671">
            <w:pPr>
              <w:widowControl/>
              <w:spacing w:line="360" w:lineRule="auto"/>
              <w:jc w:val="left"/>
              <w:rPr>
                <w:rFonts w:hint="eastAsia" w:ascii="宋体" w:hAnsi="宋体" w:eastAsia="宋体" w:cs="宋体"/>
                <w:kern w:val="0"/>
                <w:sz w:val="24"/>
                <w:szCs w:val="24"/>
              </w:rPr>
            </w:pPr>
            <w:r>
              <w:rPr>
                <w:rFonts w:hint="eastAsia" w:ascii="宋体" w:hAnsi="宋体" w:eastAsia="宋体" w:cs="宋体"/>
                <w:sz w:val="24"/>
                <w:szCs w:val="24"/>
              </w:rPr>
              <w:t>按2000元/次处罚。</w:t>
            </w:r>
          </w:p>
        </w:tc>
      </w:tr>
      <w:tr w14:paraId="384BE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30" w:type="dxa"/>
            <w:noWrap/>
            <w:tcMar>
              <w:top w:w="10" w:type="dxa"/>
              <w:left w:w="10" w:type="dxa"/>
              <w:right w:w="10" w:type="dxa"/>
            </w:tcMar>
            <w:vAlign w:val="center"/>
          </w:tcPr>
          <w:p w14:paraId="34527F07">
            <w:pPr>
              <w:widowControl/>
              <w:spacing w:before="156" w:beforeLines="50"/>
              <w:ind w:left="158" w:leftChars="75"/>
              <w:jc w:val="center"/>
              <w:textAlignment w:val="center"/>
              <w:rPr>
                <w:rFonts w:hint="eastAsia" w:ascii="宋体" w:hAnsi="宋体" w:eastAsia="宋体" w:cs="宋体"/>
                <w:bCs/>
                <w:sz w:val="24"/>
                <w:szCs w:val="24"/>
              </w:rPr>
            </w:pPr>
            <w:r>
              <w:rPr>
                <w:rFonts w:hint="eastAsia" w:ascii="宋体" w:hAnsi="宋体" w:eastAsia="宋体" w:cs="宋体"/>
                <w:bCs/>
                <w:sz w:val="24"/>
                <w:szCs w:val="24"/>
              </w:rPr>
              <w:t>5</w:t>
            </w:r>
          </w:p>
        </w:tc>
        <w:tc>
          <w:tcPr>
            <w:tcW w:w="4100" w:type="dxa"/>
            <w:tcMar>
              <w:top w:w="10" w:type="dxa"/>
              <w:left w:w="10" w:type="dxa"/>
              <w:right w:w="10" w:type="dxa"/>
            </w:tcMar>
            <w:vAlign w:val="center"/>
          </w:tcPr>
          <w:p w14:paraId="5BDFFFB7">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受托人应明确机构和班子，配备足够的各专业人员，并保证在设计文件设计咨询服务全过程中人员的稳定。受托人未按投标文件配备项目人员或未经委托人书面同意调整项目人员的，</w:t>
            </w:r>
            <w:r>
              <w:rPr>
                <w:rFonts w:hint="eastAsia" w:ascii="宋体" w:hAnsi="宋体" w:eastAsia="宋体" w:cs="宋体"/>
                <w:kern w:val="0"/>
                <w:sz w:val="24"/>
                <w:szCs w:val="24"/>
              </w:rPr>
              <w:t>甲方有权作出相应处罚。</w:t>
            </w:r>
          </w:p>
        </w:tc>
        <w:tc>
          <w:tcPr>
            <w:tcW w:w="3827" w:type="dxa"/>
            <w:tcMar>
              <w:top w:w="10" w:type="dxa"/>
              <w:left w:w="10" w:type="dxa"/>
              <w:right w:w="10" w:type="dxa"/>
            </w:tcMar>
            <w:vAlign w:val="center"/>
          </w:tcPr>
          <w:p w14:paraId="3B61F6F5">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按项目负责人10万元/人次、专业负责人（或专业审查人）5万元/人次的标准向委托人支付违约金，违约金从应付款中扣除。</w:t>
            </w:r>
          </w:p>
        </w:tc>
      </w:tr>
      <w:tr w14:paraId="1EC8B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30" w:type="dxa"/>
            <w:noWrap/>
            <w:tcMar>
              <w:top w:w="10" w:type="dxa"/>
              <w:left w:w="10" w:type="dxa"/>
              <w:right w:w="10" w:type="dxa"/>
            </w:tcMar>
            <w:vAlign w:val="center"/>
          </w:tcPr>
          <w:p w14:paraId="5333905B">
            <w:pPr>
              <w:widowControl/>
              <w:spacing w:before="156" w:beforeLines="50"/>
              <w:ind w:left="158" w:leftChars="75"/>
              <w:jc w:val="center"/>
              <w:textAlignment w:val="center"/>
              <w:rPr>
                <w:rFonts w:hint="eastAsia" w:ascii="宋体" w:hAnsi="宋体" w:eastAsia="宋体" w:cs="宋体"/>
                <w:bCs/>
                <w:sz w:val="24"/>
                <w:szCs w:val="24"/>
              </w:rPr>
            </w:pPr>
            <w:r>
              <w:rPr>
                <w:rFonts w:hint="eastAsia" w:ascii="宋体" w:hAnsi="宋体" w:eastAsia="宋体" w:cs="宋体"/>
                <w:bCs/>
                <w:sz w:val="24"/>
                <w:szCs w:val="24"/>
              </w:rPr>
              <w:t>6</w:t>
            </w:r>
          </w:p>
        </w:tc>
        <w:tc>
          <w:tcPr>
            <w:tcW w:w="4100" w:type="dxa"/>
            <w:tcMar>
              <w:top w:w="10" w:type="dxa"/>
              <w:left w:w="10" w:type="dxa"/>
              <w:right w:w="10" w:type="dxa"/>
            </w:tcMar>
            <w:vAlign w:val="center"/>
          </w:tcPr>
          <w:p w14:paraId="7C35DF1A">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由于受托人原因，超过本合同规定的设计文件全过程审查文件交付时间，每延一天，</w:t>
            </w:r>
            <w:r>
              <w:rPr>
                <w:rFonts w:hint="eastAsia" w:ascii="宋体" w:hAnsi="宋体" w:eastAsia="宋体" w:cs="宋体"/>
                <w:kern w:val="0"/>
                <w:sz w:val="24"/>
                <w:szCs w:val="24"/>
              </w:rPr>
              <w:t>甲方有权作出相应处罚。</w:t>
            </w:r>
          </w:p>
        </w:tc>
        <w:tc>
          <w:tcPr>
            <w:tcW w:w="3827" w:type="dxa"/>
            <w:tcMar>
              <w:top w:w="10" w:type="dxa"/>
              <w:left w:w="10" w:type="dxa"/>
              <w:right w:w="10" w:type="dxa"/>
            </w:tcMar>
            <w:vAlign w:val="center"/>
          </w:tcPr>
          <w:p w14:paraId="39BCE5CD">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按1万元/次处罚。</w:t>
            </w:r>
          </w:p>
        </w:tc>
      </w:tr>
      <w:tr w14:paraId="1A602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30" w:type="dxa"/>
            <w:noWrap/>
            <w:tcMar>
              <w:top w:w="10" w:type="dxa"/>
              <w:left w:w="10" w:type="dxa"/>
              <w:right w:w="10" w:type="dxa"/>
            </w:tcMar>
            <w:vAlign w:val="center"/>
          </w:tcPr>
          <w:p w14:paraId="1652ED3D">
            <w:pPr>
              <w:widowControl/>
              <w:spacing w:before="156" w:beforeLines="50"/>
              <w:ind w:left="158" w:leftChars="75"/>
              <w:jc w:val="center"/>
              <w:textAlignment w:val="center"/>
              <w:rPr>
                <w:rFonts w:hint="eastAsia" w:ascii="宋体" w:hAnsi="宋体" w:eastAsia="宋体" w:cs="宋体"/>
                <w:bCs/>
                <w:sz w:val="24"/>
                <w:szCs w:val="24"/>
              </w:rPr>
            </w:pPr>
            <w:r>
              <w:rPr>
                <w:rFonts w:hint="eastAsia" w:ascii="宋体" w:hAnsi="宋体" w:eastAsia="宋体" w:cs="宋体"/>
                <w:bCs/>
                <w:sz w:val="24"/>
                <w:szCs w:val="24"/>
              </w:rPr>
              <w:t>7</w:t>
            </w:r>
          </w:p>
        </w:tc>
        <w:tc>
          <w:tcPr>
            <w:tcW w:w="4100" w:type="dxa"/>
            <w:tcMar>
              <w:top w:w="10" w:type="dxa"/>
              <w:left w:w="10" w:type="dxa"/>
              <w:right w:w="10" w:type="dxa"/>
            </w:tcMar>
            <w:vAlign w:val="center"/>
          </w:tcPr>
          <w:p w14:paraId="0663F908">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合同履行期间，若受托人单方提出解除合同或委托人因受托人违约单方解除合同的，</w:t>
            </w:r>
            <w:r>
              <w:rPr>
                <w:rFonts w:hint="eastAsia" w:ascii="宋体" w:hAnsi="宋体" w:eastAsia="宋体" w:cs="宋体"/>
                <w:kern w:val="0"/>
                <w:sz w:val="24"/>
                <w:szCs w:val="24"/>
              </w:rPr>
              <w:t>甲方有权作出相应处罚。</w:t>
            </w:r>
          </w:p>
        </w:tc>
        <w:tc>
          <w:tcPr>
            <w:tcW w:w="3827" w:type="dxa"/>
            <w:tcMar>
              <w:top w:w="10" w:type="dxa"/>
              <w:left w:w="10" w:type="dxa"/>
              <w:right w:w="10" w:type="dxa"/>
            </w:tcMar>
            <w:vAlign w:val="center"/>
          </w:tcPr>
          <w:p w14:paraId="44556067">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按合同价的20%处罚。</w:t>
            </w:r>
          </w:p>
        </w:tc>
      </w:tr>
      <w:tr w14:paraId="6907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30" w:type="dxa"/>
            <w:noWrap/>
            <w:tcMar>
              <w:top w:w="10" w:type="dxa"/>
              <w:left w:w="10" w:type="dxa"/>
              <w:right w:w="10" w:type="dxa"/>
            </w:tcMar>
            <w:vAlign w:val="center"/>
          </w:tcPr>
          <w:p w14:paraId="75DC5D7E">
            <w:pPr>
              <w:widowControl/>
              <w:spacing w:before="156" w:beforeLines="50"/>
              <w:ind w:left="158" w:leftChars="75"/>
              <w:jc w:val="center"/>
              <w:textAlignment w:val="center"/>
              <w:rPr>
                <w:rFonts w:hint="eastAsia" w:ascii="宋体" w:hAnsi="宋体" w:eastAsia="宋体" w:cs="宋体"/>
                <w:bCs/>
                <w:sz w:val="24"/>
                <w:szCs w:val="24"/>
              </w:rPr>
            </w:pPr>
            <w:r>
              <w:rPr>
                <w:rFonts w:hint="eastAsia" w:ascii="宋体" w:hAnsi="宋体" w:eastAsia="宋体" w:cs="宋体"/>
                <w:bCs/>
                <w:sz w:val="24"/>
                <w:szCs w:val="24"/>
              </w:rPr>
              <w:t>8</w:t>
            </w:r>
          </w:p>
        </w:tc>
        <w:tc>
          <w:tcPr>
            <w:tcW w:w="4100" w:type="dxa"/>
            <w:tcMar>
              <w:top w:w="10" w:type="dxa"/>
              <w:left w:w="10" w:type="dxa"/>
              <w:right w:w="10" w:type="dxa"/>
            </w:tcMar>
            <w:vAlign w:val="center"/>
          </w:tcPr>
          <w:p w14:paraId="21FB921A">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因受托人原因造成的累计设计变更率超1%的，</w:t>
            </w:r>
            <w:r>
              <w:rPr>
                <w:rFonts w:hint="eastAsia" w:ascii="宋体" w:hAnsi="宋体" w:eastAsia="宋体" w:cs="宋体"/>
                <w:kern w:val="0"/>
                <w:sz w:val="24"/>
                <w:szCs w:val="24"/>
              </w:rPr>
              <w:t>甲方有权作出相应处罚。</w:t>
            </w:r>
          </w:p>
        </w:tc>
        <w:tc>
          <w:tcPr>
            <w:tcW w:w="3827" w:type="dxa"/>
            <w:tcMar>
              <w:top w:w="10" w:type="dxa"/>
              <w:left w:w="10" w:type="dxa"/>
              <w:right w:w="10" w:type="dxa"/>
            </w:tcMar>
            <w:vAlign w:val="center"/>
          </w:tcPr>
          <w:p w14:paraId="4B20B581">
            <w:pPr>
              <w:tabs>
                <w:tab w:val="left" w:pos="426"/>
              </w:tabs>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按超出部分变更立项审批金额的10%处罚，违约金总额不超过合同总价的20%，委托人有权解除合同。</w:t>
            </w:r>
          </w:p>
          <w:p w14:paraId="40DFE955">
            <w:pPr>
              <w:widowControl/>
              <w:spacing w:line="360" w:lineRule="auto"/>
              <w:jc w:val="left"/>
              <w:rPr>
                <w:rFonts w:hint="eastAsia" w:ascii="宋体" w:hAnsi="宋体" w:eastAsia="宋体" w:cs="宋体"/>
                <w:sz w:val="24"/>
                <w:szCs w:val="24"/>
              </w:rPr>
            </w:pPr>
          </w:p>
        </w:tc>
      </w:tr>
      <w:tr w14:paraId="7718D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30" w:type="dxa"/>
            <w:noWrap/>
            <w:tcMar>
              <w:top w:w="10" w:type="dxa"/>
              <w:left w:w="10" w:type="dxa"/>
              <w:right w:w="10" w:type="dxa"/>
            </w:tcMar>
            <w:vAlign w:val="center"/>
          </w:tcPr>
          <w:p w14:paraId="578A7C7F">
            <w:pPr>
              <w:widowControl/>
              <w:spacing w:before="156" w:beforeLines="50"/>
              <w:ind w:left="158" w:leftChars="75"/>
              <w:jc w:val="center"/>
              <w:textAlignment w:val="center"/>
              <w:rPr>
                <w:rFonts w:hint="eastAsia" w:ascii="宋体" w:hAnsi="宋体" w:eastAsia="宋体" w:cs="宋体"/>
                <w:bCs/>
                <w:sz w:val="24"/>
                <w:szCs w:val="24"/>
              </w:rPr>
            </w:pPr>
            <w:r>
              <w:rPr>
                <w:rFonts w:hint="eastAsia" w:ascii="宋体" w:hAnsi="宋体" w:eastAsia="宋体" w:cs="宋体"/>
                <w:bCs/>
                <w:sz w:val="24"/>
                <w:szCs w:val="24"/>
              </w:rPr>
              <w:t>9</w:t>
            </w:r>
          </w:p>
        </w:tc>
        <w:tc>
          <w:tcPr>
            <w:tcW w:w="4100" w:type="dxa"/>
            <w:tcMar>
              <w:top w:w="10" w:type="dxa"/>
              <w:left w:w="10" w:type="dxa"/>
              <w:right w:w="10" w:type="dxa"/>
            </w:tcMar>
            <w:vAlign w:val="center"/>
          </w:tcPr>
          <w:p w14:paraId="76D6E8E1">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lang w:val="zh-CN"/>
              </w:rPr>
              <w:t>设计文件设计咨询服务</w:t>
            </w:r>
            <w:r>
              <w:rPr>
                <w:rFonts w:hint="eastAsia" w:ascii="宋体" w:hAnsi="宋体" w:eastAsia="宋体" w:cs="宋体"/>
                <w:bCs/>
                <w:sz w:val="24"/>
                <w:szCs w:val="24"/>
              </w:rPr>
              <w:t>进度不满足合同规定或不能令委托人满意，影响工期15天及以上，</w:t>
            </w:r>
          </w:p>
        </w:tc>
        <w:tc>
          <w:tcPr>
            <w:tcW w:w="3827" w:type="dxa"/>
            <w:tcMar>
              <w:top w:w="10" w:type="dxa"/>
              <w:left w:w="10" w:type="dxa"/>
              <w:right w:w="10" w:type="dxa"/>
            </w:tcMar>
            <w:vAlign w:val="center"/>
          </w:tcPr>
          <w:p w14:paraId="2DB0EA4A">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按不大于</w:t>
            </w:r>
            <w:r>
              <w:rPr>
                <w:rFonts w:hint="eastAsia" w:ascii="宋体" w:hAnsi="宋体" w:eastAsia="宋体" w:cs="宋体"/>
                <w:sz w:val="24"/>
                <w:szCs w:val="24"/>
                <w:lang w:val="zh-CN"/>
              </w:rPr>
              <w:t>合同总额</w:t>
            </w:r>
            <w:r>
              <w:rPr>
                <w:rFonts w:hint="eastAsia" w:ascii="宋体" w:hAnsi="宋体" w:eastAsia="宋体" w:cs="宋体"/>
                <w:sz w:val="24"/>
                <w:szCs w:val="24"/>
              </w:rPr>
              <w:t>的</w:t>
            </w:r>
            <w:r>
              <w:rPr>
                <w:rFonts w:hint="eastAsia" w:ascii="宋体" w:hAnsi="宋体" w:eastAsia="宋体" w:cs="宋体"/>
                <w:sz w:val="24"/>
                <w:szCs w:val="24"/>
                <w:lang w:val="zh-CN"/>
              </w:rPr>
              <w:t>10%</w:t>
            </w:r>
            <w:r>
              <w:rPr>
                <w:rFonts w:hint="eastAsia" w:ascii="宋体" w:hAnsi="宋体" w:eastAsia="宋体" w:cs="宋体"/>
                <w:sz w:val="24"/>
                <w:szCs w:val="24"/>
              </w:rPr>
              <w:t>进行处罚。</w:t>
            </w:r>
          </w:p>
        </w:tc>
      </w:tr>
      <w:tr w14:paraId="7B58D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30" w:type="dxa"/>
            <w:noWrap/>
            <w:tcMar>
              <w:top w:w="10" w:type="dxa"/>
              <w:left w:w="10" w:type="dxa"/>
              <w:right w:w="10" w:type="dxa"/>
            </w:tcMar>
            <w:vAlign w:val="center"/>
          </w:tcPr>
          <w:p w14:paraId="0F19A371">
            <w:pPr>
              <w:widowControl/>
              <w:spacing w:before="156" w:beforeLines="50"/>
              <w:ind w:left="158" w:leftChars="75"/>
              <w:jc w:val="center"/>
              <w:textAlignment w:val="center"/>
              <w:rPr>
                <w:rFonts w:hint="eastAsia" w:ascii="宋体" w:hAnsi="宋体" w:eastAsia="宋体" w:cs="宋体"/>
                <w:bCs/>
                <w:sz w:val="24"/>
                <w:szCs w:val="24"/>
              </w:rPr>
            </w:pPr>
            <w:r>
              <w:rPr>
                <w:rFonts w:hint="eastAsia" w:ascii="宋体" w:hAnsi="宋体" w:eastAsia="宋体" w:cs="宋体"/>
                <w:bCs/>
                <w:sz w:val="24"/>
                <w:szCs w:val="24"/>
              </w:rPr>
              <w:t>10</w:t>
            </w:r>
          </w:p>
        </w:tc>
        <w:tc>
          <w:tcPr>
            <w:tcW w:w="4100" w:type="dxa"/>
            <w:tcMar>
              <w:top w:w="10" w:type="dxa"/>
              <w:left w:w="10" w:type="dxa"/>
              <w:right w:w="10" w:type="dxa"/>
            </w:tcMar>
            <w:vAlign w:val="center"/>
          </w:tcPr>
          <w:p w14:paraId="659FCCA3">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zh-CN"/>
              </w:rPr>
              <w:t>设计文件设计咨询服务</w:t>
            </w:r>
            <w:r>
              <w:rPr>
                <w:rFonts w:hint="eastAsia" w:ascii="宋体" w:hAnsi="宋体" w:eastAsia="宋体" w:cs="宋体"/>
                <w:bCs/>
                <w:sz w:val="24"/>
                <w:szCs w:val="24"/>
              </w:rPr>
              <w:t>深度、细度不符合合同或地方及国家有关规定，未按地方及国家最新规定或规程进行审查；或精细化审查各主体专业与附属专业（园林、幕墙、精装修、标识、泛光等，及上盖连桥、通道、地铁附属设施等）专项设计间未统筹审查，造成重大设计遗漏、返工，</w:t>
            </w:r>
            <w:r>
              <w:rPr>
                <w:rFonts w:hint="eastAsia" w:ascii="宋体" w:hAnsi="宋体" w:eastAsia="宋体" w:cs="宋体"/>
                <w:kern w:val="0"/>
                <w:sz w:val="24"/>
                <w:szCs w:val="24"/>
              </w:rPr>
              <w:t>甲方有权作出相应处罚。</w:t>
            </w:r>
          </w:p>
        </w:tc>
        <w:tc>
          <w:tcPr>
            <w:tcW w:w="3827" w:type="dxa"/>
            <w:tcMar>
              <w:top w:w="10" w:type="dxa"/>
              <w:left w:w="10" w:type="dxa"/>
              <w:right w:w="10" w:type="dxa"/>
            </w:tcMar>
            <w:vAlign w:val="center"/>
          </w:tcPr>
          <w:p w14:paraId="3E7A77F6">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按不大于</w:t>
            </w:r>
            <w:r>
              <w:rPr>
                <w:rFonts w:hint="eastAsia" w:ascii="宋体" w:hAnsi="宋体" w:eastAsia="宋体" w:cs="宋体"/>
                <w:sz w:val="24"/>
                <w:szCs w:val="24"/>
                <w:lang w:val="zh-CN"/>
              </w:rPr>
              <w:t>合同总额</w:t>
            </w:r>
            <w:r>
              <w:rPr>
                <w:rFonts w:hint="eastAsia" w:ascii="宋体" w:hAnsi="宋体" w:eastAsia="宋体" w:cs="宋体"/>
                <w:sz w:val="24"/>
                <w:szCs w:val="24"/>
              </w:rPr>
              <w:t>的3</w:t>
            </w:r>
            <w:r>
              <w:rPr>
                <w:rFonts w:hint="eastAsia" w:ascii="宋体" w:hAnsi="宋体" w:eastAsia="宋体" w:cs="宋体"/>
                <w:sz w:val="24"/>
                <w:szCs w:val="24"/>
                <w:lang w:val="zh-CN"/>
              </w:rPr>
              <w:t>0%</w:t>
            </w:r>
            <w:r>
              <w:rPr>
                <w:rFonts w:hint="eastAsia" w:ascii="宋体" w:hAnsi="宋体" w:eastAsia="宋体" w:cs="宋体"/>
                <w:sz w:val="24"/>
                <w:szCs w:val="24"/>
              </w:rPr>
              <w:t>进行处罚。</w:t>
            </w:r>
          </w:p>
        </w:tc>
      </w:tr>
      <w:tr w14:paraId="5E5ED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30" w:type="dxa"/>
            <w:noWrap/>
            <w:tcMar>
              <w:top w:w="10" w:type="dxa"/>
              <w:left w:w="10" w:type="dxa"/>
              <w:right w:w="10" w:type="dxa"/>
            </w:tcMar>
            <w:vAlign w:val="center"/>
          </w:tcPr>
          <w:p w14:paraId="1B3D105D">
            <w:pPr>
              <w:widowControl/>
              <w:spacing w:before="156" w:beforeLines="50"/>
              <w:ind w:left="158" w:leftChars="75"/>
              <w:jc w:val="center"/>
              <w:textAlignment w:val="center"/>
              <w:rPr>
                <w:rFonts w:hint="eastAsia" w:ascii="宋体" w:hAnsi="宋体" w:eastAsia="宋体" w:cs="宋体"/>
                <w:bCs/>
                <w:sz w:val="24"/>
                <w:szCs w:val="24"/>
              </w:rPr>
            </w:pPr>
            <w:r>
              <w:rPr>
                <w:rFonts w:hint="eastAsia" w:ascii="宋体" w:hAnsi="宋体" w:eastAsia="宋体" w:cs="宋体"/>
                <w:bCs/>
                <w:sz w:val="24"/>
                <w:szCs w:val="24"/>
              </w:rPr>
              <w:t>11</w:t>
            </w:r>
          </w:p>
        </w:tc>
        <w:tc>
          <w:tcPr>
            <w:tcW w:w="4100" w:type="dxa"/>
            <w:tcMar>
              <w:top w:w="10" w:type="dxa"/>
              <w:left w:w="10" w:type="dxa"/>
              <w:right w:w="10" w:type="dxa"/>
            </w:tcMar>
            <w:vAlign w:val="center"/>
          </w:tcPr>
          <w:p w14:paraId="10A98373">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lang w:val="zh-CN"/>
              </w:rPr>
              <w:t>设计文件经设计咨询服务</w:t>
            </w:r>
            <w:r>
              <w:rPr>
                <w:rFonts w:hint="eastAsia" w:ascii="宋体" w:hAnsi="宋体" w:eastAsia="宋体" w:cs="宋体"/>
                <w:bCs/>
                <w:sz w:val="24"/>
                <w:szCs w:val="24"/>
              </w:rPr>
              <w:t>后，相关审查意见设计院未落实到图纸上，精细化审查复核时未及时提出异议予以通过，在后期施工过程中导致返工、拆除等综合成本增加30万元以上，或影响工期15天及以上，</w:t>
            </w:r>
            <w:r>
              <w:rPr>
                <w:rFonts w:hint="eastAsia" w:ascii="宋体" w:hAnsi="宋体" w:eastAsia="宋体" w:cs="宋体"/>
                <w:kern w:val="0"/>
                <w:sz w:val="24"/>
                <w:szCs w:val="24"/>
              </w:rPr>
              <w:t>甲方有权作出相应处罚。</w:t>
            </w:r>
          </w:p>
        </w:tc>
        <w:tc>
          <w:tcPr>
            <w:tcW w:w="3827" w:type="dxa"/>
            <w:tcMar>
              <w:top w:w="10" w:type="dxa"/>
              <w:left w:w="10" w:type="dxa"/>
              <w:right w:w="10" w:type="dxa"/>
            </w:tcMar>
            <w:vAlign w:val="center"/>
          </w:tcPr>
          <w:p w14:paraId="52248714">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按不大于</w:t>
            </w:r>
            <w:r>
              <w:rPr>
                <w:rFonts w:hint="eastAsia" w:ascii="宋体" w:hAnsi="宋体" w:eastAsia="宋体" w:cs="宋体"/>
                <w:sz w:val="24"/>
                <w:szCs w:val="24"/>
                <w:lang w:val="zh-CN"/>
              </w:rPr>
              <w:t>合同总额</w:t>
            </w:r>
            <w:r>
              <w:rPr>
                <w:rFonts w:hint="eastAsia" w:ascii="宋体" w:hAnsi="宋体" w:eastAsia="宋体" w:cs="宋体"/>
                <w:sz w:val="24"/>
                <w:szCs w:val="24"/>
              </w:rPr>
              <w:t>的3</w:t>
            </w:r>
            <w:r>
              <w:rPr>
                <w:rFonts w:hint="eastAsia" w:ascii="宋体" w:hAnsi="宋体" w:eastAsia="宋体" w:cs="宋体"/>
                <w:sz w:val="24"/>
                <w:szCs w:val="24"/>
                <w:lang w:val="zh-CN"/>
              </w:rPr>
              <w:t>0%</w:t>
            </w:r>
            <w:r>
              <w:rPr>
                <w:rFonts w:hint="eastAsia" w:ascii="宋体" w:hAnsi="宋体" w:eastAsia="宋体" w:cs="宋体"/>
                <w:sz w:val="24"/>
                <w:szCs w:val="24"/>
              </w:rPr>
              <w:t>进行处罚。</w:t>
            </w:r>
          </w:p>
        </w:tc>
      </w:tr>
      <w:tr w14:paraId="1959B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30" w:type="dxa"/>
            <w:noWrap/>
            <w:tcMar>
              <w:top w:w="10" w:type="dxa"/>
              <w:left w:w="10" w:type="dxa"/>
              <w:right w:w="10" w:type="dxa"/>
            </w:tcMar>
            <w:vAlign w:val="center"/>
          </w:tcPr>
          <w:p w14:paraId="78257FB4">
            <w:pPr>
              <w:widowControl/>
              <w:spacing w:before="156" w:beforeLines="50"/>
              <w:ind w:left="158" w:leftChars="75"/>
              <w:jc w:val="center"/>
              <w:textAlignment w:val="center"/>
              <w:rPr>
                <w:rFonts w:hint="eastAsia" w:ascii="宋体" w:hAnsi="宋体" w:eastAsia="宋体" w:cs="宋体"/>
                <w:bCs/>
                <w:sz w:val="24"/>
                <w:szCs w:val="24"/>
              </w:rPr>
            </w:pPr>
            <w:r>
              <w:rPr>
                <w:rFonts w:hint="eastAsia" w:ascii="宋体" w:hAnsi="宋体" w:eastAsia="宋体" w:cs="宋体"/>
                <w:bCs/>
                <w:sz w:val="24"/>
                <w:szCs w:val="24"/>
              </w:rPr>
              <w:t>12</w:t>
            </w:r>
          </w:p>
        </w:tc>
        <w:tc>
          <w:tcPr>
            <w:tcW w:w="4100" w:type="dxa"/>
            <w:tcMar>
              <w:top w:w="10" w:type="dxa"/>
              <w:left w:w="10" w:type="dxa"/>
              <w:right w:w="10" w:type="dxa"/>
            </w:tcMar>
            <w:vAlign w:val="center"/>
          </w:tcPr>
          <w:p w14:paraId="51A11519">
            <w:pPr>
              <w:widowControl/>
              <w:spacing w:line="360" w:lineRule="auto"/>
              <w:jc w:val="left"/>
              <w:rPr>
                <w:rFonts w:hint="eastAsia" w:ascii="宋体" w:hAnsi="宋体" w:eastAsia="宋体" w:cs="宋体"/>
                <w:sz w:val="24"/>
                <w:szCs w:val="24"/>
              </w:rPr>
            </w:pPr>
            <w:r>
              <w:rPr>
                <w:rFonts w:hint="eastAsia" w:ascii="宋体" w:hAnsi="宋体" w:eastAsia="宋体" w:cs="宋体"/>
                <w:bCs/>
                <w:sz w:val="24"/>
                <w:szCs w:val="24"/>
              </w:rPr>
              <w:t>勘察、设计承包单位原因导致重大安全、质量事故，而受托人未能及时发现与本合同约定的工作范围内相关原因的，</w:t>
            </w:r>
            <w:r>
              <w:rPr>
                <w:rFonts w:hint="eastAsia" w:ascii="宋体" w:hAnsi="宋体" w:eastAsia="宋体" w:cs="宋体"/>
                <w:kern w:val="0"/>
                <w:sz w:val="24"/>
                <w:szCs w:val="24"/>
              </w:rPr>
              <w:t>甲方有权作出相应处罚。</w:t>
            </w:r>
          </w:p>
        </w:tc>
        <w:tc>
          <w:tcPr>
            <w:tcW w:w="3827" w:type="dxa"/>
            <w:tcMar>
              <w:top w:w="10" w:type="dxa"/>
              <w:left w:w="10" w:type="dxa"/>
              <w:right w:w="10" w:type="dxa"/>
            </w:tcMar>
            <w:vAlign w:val="center"/>
          </w:tcPr>
          <w:p w14:paraId="2BB351E6">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按不大于</w:t>
            </w:r>
            <w:r>
              <w:rPr>
                <w:rFonts w:hint="eastAsia" w:ascii="宋体" w:hAnsi="宋体" w:eastAsia="宋体" w:cs="宋体"/>
                <w:sz w:val="24"/>
                <w:szCs w:val="24"/>
                <w:lang w:val="zh-CN"/>
              </w:rPr>
              <w:t>合同总额</w:t>
            </w:r>
            <w:r>
              <w:rPr>
                <w:rFonts w:hint="eastAsia" w:ascii="宋体" w:hAnsi="宋体" w:eastAsia="宋体" w:cs="宋体"/>
                <w:sz w:val="24"/>
                <w:szCs w:val="24"/>
              </w:rPr>
              <w:t>的3</w:t>
            </w:r>
            <w:r>
              <w:rPr>
                <w:rFonts w:hint="eastAsia" w:ascii="宋体" w:hAnsi="宋体" w:eastAsia="宋体" w:cs="宋体"/>
                <w:sz w:val="24"/>
                <w:szCs w:val="24"/>
                <w:lang w:val="zh-CN"/>
              </w:rPr>
              <w:t>0%</w:t>
            </w:r>
            <w:r>
              <w:rPr>
                <w:rFonts w:hint="eastAsia" w:ascii="宋体" w:hAnsi="宋体" w:eastAsia="宋体" w:cs="宋体"/>
                <w:sz w:val="24"/>
                <w:szCs w:val="24"/>
              </w:rPr>
              <w:t>进行处罚。</w:t>
            </w:r>
          </w:p>
        </w:tc>
      </w:tr>
      <w:tr w14:paraId="3B0D8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30" w:type="dxa"/>
            <w:noWrap/>
            <w:tcMar>
              <w:top w:w="10" w:type="dxa"/>
              <w:left w:w="10" w:type="dxa"/>
              <w:right w:w="10" w:type="dxa"/>
            </w:tcMar>
            <w:vAlign w:val="center"/>
          </w:tcPr>
          <w:p w14:paraId="2268A02F">
            <w:pPr>
              <w:widowControl/>
              <w:spacing w:before="156" w:beforeLines="50"/>
              <w:ind w:left="158" w:leftChars="75"/>
              <w:jc w:val="center"/>
              <w:textAlignment w:val="center"/>
              <w:rPr>
                <w:rFonts w:hint="eastAsia" w:ascii="宋体" w:hAnsi="宋体" w:eastAsia="宋体" w:cs="宋体"/>
                <w:bCs/>
                <w:sz w:val="24"/>
                <w:szCs w:val="24"/>
              </w:rPr>
            </w:pPr>
            <w:r>
              <w:rPr>
                <w:rFonts w:hint="eastAsia" w:ascii="宋体" w:hAnsi="宋体" w:eastAsia="宋体" w:cs="宋体"/>
                <w:bCs/>
                <w:sz w:val="24"/>
                <w:szCs w:val="24"/>
              </w:rPr>
              <w:t>13</w:t>
            </w:r>
          </w:p>
        </w:tc>
        <w:tc>
          <w:tcPr>
            <w:tcW w:w="4100" w:type="dxa"/>
            <w:tcMar>
              <w:top w:w="10" w:type="dxa"/>
              <w:left w:w="10" w:type="dxa"/>
              <w:right w:w="10" w:type="dxa"/>
            </w:tcMar>
            <w:vAlign w:val="center"/>
          </w:tcPr>
          <w:p w14:paraId="22D5FE19">
            <w:pPr>
              <w:widowControl/>
              <w:spacing w:line="360" w:lineRule="auto"/>
              <w:jc w:val="left"/>
              <w:rPr>
                <w:rFonts w:hint="eastAsia" w:ascii="宋体" w:hAnsi="宋体" w:eastAsia="宋体" w:cs="宋体"/>
                <w:sz w:val="24"/>
                <w:szCs w:val="24"/>
              </w:rPr>
            </w:pPr>
            <w:r>
              <w:rPr>
                <w:rFonts w:hint="eastAsia" w:ascii="宋体" w:hAnsi="宋体" w:eastAsia="宋体" w:cs="宋体"/>
                <w:bCs/>
                <w:sz w:val="24"/>
                <w:szCs w:val="24"/>
              </w:rPr>
              <w:t>因</w:t>
            </w:r>
            <w:r>
              <w:rPr>
                <w:rFonts w:hint="eastAsia" w:ascii="宋体" w:hAnsi="宋体" w:eastAsia="宋体" w:cs="宋体"/>
                <w:sz w:val="24"/>
                <w:szCs w:val="24"/>
                <w:lang w:val="zh-CN"/>
              </w:rPr>
              <w:t>设计文件设计咨询服务</w:t>
            </w:r>
            <w:r>
              <w:rPr>
                <w:rFonts w:hint="eastAsia" w:ascii="宋体" w:hAnsi="宋体" w:eastAsia="宋体" w:cs="宋体"/>
                <w:bCs/>
                <w:sz w:val="24"/>
                <w:szCs w:val="24"/>
              </w:rPr>
              <w:t>原因导致工程存在严重质量或安全隐患，难以整改或整改投资大于100万</w:t>
            </w:r>
            <w:r>
              <w:rPr>
                <w:rFonts w:hint="eastAsia" w:ascii="宋体" w:hAnsi="宋体" w:eastAsia="宋体" w:cs="Times New Roman"/>
                <w:bCs/>
                <w:sz w:val="24"/>
              </w:rPr>
              <w:t>元</w:t>
            </w:r>
            <w:r>
              <w:rPr>
                <w:rFonts w:hint="eastAsia" w:ascii="宋体" w:hAnsi="宋体" w:eastAsia="宋体" w:cs="宋体"/>
                <w:bCs/>
                <w:sz w:val="24"/>
                <w:szCs w:val="24"/>
              </w:rPr>
              <w:t>人民币的，</w:t>
            </w:r>
            <w:r>
              <w:rPr>
                <w:rFonts w:hint="eastAsia" w:ascii="宋体" w:hAnsi="宋体" w:eastAsia="宋体" w:cs="宋体"/>
                <w:kern w:val="0"/>
                <w:sz w:val="24"/>
                <w:szCs w:val="24"/>
              </w:rPr>
              <w:t>甲方有权作出相应处罚。</w:t>
            </w:r>
          </w:p>
        </w:tc>
        <w:tc>
          <w:tcPr>
            <w:tcW w:w="3827" w:type="dxa"/>
            <w:tcMar>
              <w:top w:w="10" w:type="dxa"/>
              <w:left w:w="10" w:type="dxa"/>
              <w:right w:w="10" w:type="dxa"/>
            </w:tcMar>
            <w:vAlign w:val="center"/>
          </w:tcPr>
          <w:p w14:paraId="0681C274">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按不大于</w:t>
            </w:r>
            <w:r>
              <w:rPr>
                <w:rFonts w:hint="eastAsia" w:ascii="宋体" w:hAnsi="宋体" w:eastAsia="宋体" w:cs="宋体"/>
                <w:sz w:val="24"/>
                <w:szCs w:val="24"/>
                <w:lang w:val="zh-CN"/>
              </w:rPr>
              <w:t>合同总额</w:t>
            </w:r>
            <w:r>
              <w:rPr>
                <w:rFonts w:hint="eastAsia" w:ascii="宋体" w:hAnsi="宋体" w:eastAsia="宋体" w:cs="宋体"/>
                <w:sz w:val="24"/>
                <w:szCs w:val="24"/>
              </w:rPr>
              <w:t>的3</w:t>
            </w:r>
            <w:r>
              <w:rPr>
                <w:rFonts w:hint="eastAsia" w:ascii="宋体" w:hAnsi="宋体" w:eastAsia="宋体" w:cs="宋体"/>
                <w:sz w:val="24"/>
                <w:szCs w:val="24"/>
                <w:lang w:val="zh-CN"/>
              </w:rPr>
              <w:t>0%</w:t>
            </w:r>
            <w:r>
              <w:rPr>
                <w:rFonts w:hint="eastAsia" w:ascii="宋体" w:hAnsi="宋体" w:eastAsia="宋体" w:cs="宋体"/>
                <w:sz w:val="24"/>
                <w:szCs w:val="24"/>
              </w:rPr>
              <w:t>进行处罚。</w:t>
            </w:r>
          </w:p>
        </w:tc>
      </w:tr>
      <w:tr w14:paraId="3BE95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30" w:type="dxa"/>
            <w:noWrap/>
            <w:tcMar>
              <w:top w:w="10" w:type="dxa"/>
              <w:left w:w="10" w:type="dxa"/>
              <w:right w:w="10" w:type="dxa"/>
            </w:tcMar>
            <w:vAlign w:val="center"/>
          </w:tcPr>
          <w:p w14:paraId="10EFA1B9">
            <w:pPr>
              <w:widowControl/>
              <w:spacing w:before="156" w:beforeLines="50"/>
              <w:ind w:left="158" w:leftChars="75"/>
              <w:jc w:val="center"/>
              <w:textAlignment w:val="center"/>
              <w:rPr>
                <w:rFonts w:hint="eastAsia" w:ascii="宋体" w:hAnsi="宋体" w:eastAsia="宋体" w:cs="宋体"/>
                <w:bCs/>
                <w:sz w:val="24"/>
                <w:szCs w:val="24"/>
              </w:rPr>
            </w:pPr>
            <w:r>
              <w:rPr>
                <w:rFonts w:hint="eastAsia" w:ascii="宋体" w:hAnsi="宋体" w:eastAsia="宋体" w:cs="宋体"/>
                <w:bCs/>
                <w:sz w:val="24"/>
                <w:szCs w:val="24"/>
              </w:rPr>
              <w:t>14</w:t>
            </w:r>
          </w:p>
        </w:tc>
        <w:tc>
          <w:tcPr>
            <w:tcW w:w="4100" w:type="dxa"/>
            <w:tcMar>
              <w:top w:w="10" w:type="dxa"/>
              <w:left w:w="10" w:type="dxa"/>
              <w:right w:w="10" w:type="dxa"/>
            </w:tcMar>
            <w:vAlign w:val="center"/>
          </w:tcPr>
          <w:p w14:paraId="541BE928">
            <w:pPr>
              <w:widowControl/>
              <w:spacing w:line="360" w:lineRule="auto"/>
              <w:jc w:val="left"/>
              <w:rPr>
                <w:rFonts w:hint="eastAsia" w:ascii="宋体" w:hAnsi="宋体" w:eastAsia="宋体" w:cs="宋体"/>
                <w:sz w:val="24"/>
                <w:szCs w:val="24"/>
              </w:rPr>
            </w:pPr>
            <w:r>
              <w:rPr>
                <w:rFonts w:hint="eastAsia" w:ascii="宋体" w:hAnsi="宋体" w:eastAsia="宋体" w:cs="宋体"/>
                <w:bCs/>
                <w:sz w:val="24"/>
                <w:szCs w:val="24"/>
              </w:rPr>
              <w:t>经乙方审核过的施工图设计文件若出现Ⅰ类错误（</w:t>
            </w:r>
            <w:r>
              <w:rPr>
                <w:rFonts w:hint="eastAsia" w:ascii="宋体" w:hAnsi="宋体" w:eastAsia="宋体" w:cs="宋体"/>
                <w:b/>
                <w:sz w:val="24"/>
                <w:szCs w:val="24"/>
              </w:rPr>
              <w:t>严重违反规范、标准、规定，存在严重安全隐患、可能造成重大经济损失或严重影响报建工作进行的错误</w:t>
            </w:r>
            <w:r>
              <w:rPr>
                <w:rFonts w:hint="eastAsia" w:ascii="宋体" w:hAnsi="宋体" w:eastAsia="宋体" w:cs="宋体"/>
                <w:bCs/>
                <w:sz w:val="24"/>
                <w:szCs w:val="24"/>
              </w:rPr>
              <w:t>），</w:t>
            </w:r>
            <w:r>
              <w:rPr>
                <w:rFonts w:hint="eastAsia" w:ascii="宋体" w:hAnsi="宋体" w:eastAsia="宋体" w:cs="宋体"/>
                <w:kern w:val="0"/>
                <w:sz w:val="24"/>
                <w:szCs w:val="24"/>
              </w:rPr>
              <w:t>甲方有权作出相应处罚。</w:t>
            </w:r>
          </w:p>
        </w:tc>
        <w:tc>
          <w:tcPr>
            <w:tcW w:w="3827" w:type="dxa"/>
            <w:tcMar>
              <w:top w:w="10" w:type="dxa"/>
              <w:left w:w="10" w:type="dxa"/>
              <w:right w:w="10" w:type="dxa"/>
            </w:tcMar>
            <w:vAlign w:val="center"/>
          </w:tcPr>
          <w:p w14:paraId="4DCC9127">
            <w:pPr>
              <w:widowControl/>
              <w:spacing w:line="360" w:lineRule="auto"/>
              <w:jc w:val="left"/>
              <w:rPr>
                <w:rFonts w:hint="eastAsia" w:ascii="宋体" w:hAnsi="宋体" w:eastAsia="宋体" w:cs="宋体"/>
                <w:sz w:val="24"/>
                <w:szCs w:val="24"/>
              </w:rPr>
            </w:pPr>
            <w:r>
              <w:rPr>
                <w:rFonts w:hint="eastAsia" w:ascii="宋体" w:hAnsi="宋体" w:eastAsia="宋体" w:cs="宋体"/>
                <w:bCs/>
                <w:sz w:val="24"/>
                <w:szCs w:val="24"/>
              </w:rPr>
              <w:t>按0.4万元/个</w:t>
            </w:r>
            <w:r>
              <w:rPr>
                <w:rFonts w:hint="eastAsia" w:ascii="宋体" w:hAnsi="宋体" w:eastAsia="宋体" w:cs="宋体"/>
                <w:sz w:val="24"/>
                <w:szCs w:val="24"/>
              </w:rPr>
              <w:t>处罚。</w:t>
            </w:r>
          </w:p>
        </w:tc>
      </w:tr>
      <w:tr w14:paraId="0EC4D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30" w:type="dxa"/>
            <w:noWrap/>
            <w:tcMar>
              <w:top w:w="10" w:type="dxa"/>
              <w:left w:w="10" w:type="dxa"/>
              <w:right w:w="10" w:type="dxa"/>
            </w:tcMar>
            <w:vAlign w:val="center"/>
          </w:tcPr>
          <w:p w14:paraId="0170529A">
            <w:pPr>
              <w:widowControl/>
              <w:spacing w:before="156" w:beforeLines="50"/>
              <w:ind w:left="158" w:leftChars="75"/>
              <w:jc w:val="center"/>
              <w:textAlignment w:val="center"/>
              <w:rPr>
                <w:rFonts w:hint="eastAsia" w:ascii="宋体" w:hAnsi="宋体" w:eastAsia="宋体" w:cs="宋体"/>
                <w:bCs/>
                <w:sz w:val="24"/>
                <w:szCs w:val="24"/>
              </w:rPr>
            </w:pPr>
            <w:r>
              <w:rPr>
                <w:rFonts w:hint="eastAsia" w:ascii="宋体" w:hAnsi="宋体" w:eastAsia="宋体" w:cs="宋体"/>
                <w:bCs/>
                <w:sz w:val="24"/>
                <w:szCs w:val="24"/>
              </w:rPr>
              <w:t>15</w:t>
            </w:r>
          </w:p>
        </w:tc>
        <w:tc>
          <w:tcPr>
            <w:tcW w:w="4100" w:type="dxa"/>
            <w:tcMar>
              <w:top w:w="10" w:type="dxa"/>
              <w:left w:w="10" w:type="dxa"/>
              <w:right w:w="10" w:type="dxa"/>
            </w:tcMar>
            <w:vAlign w:val="center"/>
          </w:tcPr>
          <w:p w14:paraId="4D1D9BFC">
            <w:pPr>
              <w:widowControl/>
              <w:spacing w:line="360" w:lineRule="auto"/>
              <w:jc w:val="left"/>
              <w:rPr>
                <w:rFonts w:hint="eastAsia" w:ascii="宋体" w:hAnsi="宋体" w:eastAsia="宋体" w:cs="宋体"/>
                <w:sz w:val="24"/>
                <w:szCs w:val="24"/>
              </w:rPr>
            </w:pPr>
            <w:r>
              <w:rPr>
                <w:rFonts w:hint="eastAsia" w:ascii="宋体" w:hAnsi="宋体" w:eastAsia="宋体" w:cs="宋体"/>
                <w:bCs/>
                <w:sz w:val="24"/>
                <w:szCs w:val="24"/>
              </w:rPr>
              <w:t>经乙方审核过的施工图设计文件若出现Ⅱ类错误（</w:t>
            </w:r>
            <w:r>
              <w:rPr>
                <w:rFonts w:hint="eastAsia" w:ascii="宋体" w:hAnsi="宋体" w:eastAsia="宋体" w:cs="宋体"/>
                <w:b/>
                <w:sz w:val="24"/>
                <w:szCs w:val="24"/>
              </w:rPr>
              <w:t>局部违反规范、标准、规定，或设计不周、有局部遗漏或错误、可能影响局部使用效果或造成较大经济损失，有一定修正量，但返工量不大的错误</w:t>
            </w:r>
            <w:r>
              <w:rPr>
                <w:rFonts w:hint="eastAsia" w:ascii="宋体" w:hAnsi="宋体" w:eastAsia="宋体" w:cs="宋体"/>
                <w:bCs/>
                <w:sz w:val="24"/>
                <w:szCs w:val="24"/>
              </w:rPr>
              <w:t>）多于5个者，</w:t>
            </w:r>
            <w:r>
              <w:rPr>
                <w:rFonts w:hint="eastAsia" w:ascii="宋体" w:hAnsi="宋体" w:eastAsia="宋体" w:cs="宋体"/>
                <w:kern w:val="0"/>
                <w:sz w:val="24"/>
                <w:szCs w:val="24"/>
              </w:rPr>
              <w:t>甲方有权作出相应处罚。</w:t>
            </w:r>
          </w:p>
        </w:tc>
        <w:tc>
          <w:tcPr>
            <w:tcW w:w="3827" w:type="dxa"/>
            <w:tcMar>
              <w:top w:w="10" w:type="dxa"/>
              <w:left w:w="10" w:type="dxa"/>
              <w:right w:w="10" w:type="dxa"/>
            </w:tcMar>
            <w:vAlign w:val="center"/>
          </w:tcPr>
          <w:p w14:paraId="03F5FBAD">
            <w:pPr>
              <w:widowControl/>
              <w:spacing w:line="360" w:lineRule="auto"/>
              <w:jc w:val="left"/>
              <w:rPr>
                <w:rFonts w:hint="eastAsia" w:ascii="宋体" w:hAnsi="宋体" w:eastAsia="宋体" w:cs="宋体"/>
                <w:sz w:val="24"/>
                <w:szCs w:val="24"/>
              </w:rPr>
            </w:pPr>
            <w:r>
              <w:rPr>
                <w:rFonts w:hint="eastAsia" w:ascii="宋体" w:hAnsi="宋体" w:eastAsia="宋体" w:cs="宋体"/>
                <w:bCs/>
                <w:sz w:val="24"/>
                <w:szCs w:val="24"/>
              </w:rPr>
              <w:t>每增加1个按0.05万元/个</w:t>
            </w:r>
            <w:r>
              <w:rPr>
                <w:rFonts w:hint="eastAsia" w:ascii="宋体" w:hAnsi="宋体" w:eastAsia="宋体" w:cs="宋体"/>
                <w:sz w:val="24"/>
                <w:szCs w:val="24"/>
              </w:rPr>
              <w:t>处罚</w:t>
            </w:r>
            <w:r>
              <w:rPr>
                <w:rFonts w:hint="eastAsia" w:ascii="宋体" w:hAnsi="宋体" w:eastAsia="宋体" w:cs="宋体"/>
                <w:bCs/>
                <w:sz w:val="24"/>
                <w:szCs w:val="24"/>
              </w:rPr>
              <w:t>。</w:t>
            </w:r>
          </w:p>
        </w:tc>
      </w:tr>
      <w:tr w14:paraId="17888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30" w:type="dxa"/>
            <w:noWrap/>
            <w:tcMar>
              <w:top w:w="10" w:type="dxa"/>
              <w:left w:w="10" w:type="dxa"/>
              <w:right w:w="10" w:type="dxa"/>
            </w:tcMar>
            <w:vAlign w:val="center"/>
          </w:tcPr>
          <w:p w14:paraId="30216B84">
            <w:pPr>
              <w:widowControl/>
              <w:spacing w:before="156" w:beforeLines="50"/>
              <w:ind w:left="158" w:leftChars="75"/>
              <w:jc w:val="center"/>
              <w:textAlignment w:val="center"/>
              <w:rPr>
                <w:rFonts w:hint="eastAsia" w:ascii="宋体" w:hAnsi="宋体" w:eastAsia="宋体" w:cs="宋体"/>
                <w:bCs/>
                <w:sz w:val="24"/>
                <w:szCs w:val="24"/>
              </w:rPr>
            </w:pPr>
            <w:r>
              <w:rPr>
                <w:rFonts w:hint="eastAsia" w:ascii="宋体" w:hAnsi="宋体" w:eastAsia="宋体" w:cs="宋体"/>
                <w:bCs/>
                <w:sz w:val="24"/>
                <w:szCs w:val="24"/>
              </w:rPr>
              <w:t>16</w:t>
            </w:r>
          </w:p>
        </w:tc>
        <w:tc>
          <w:tcPr>
            <w:tcW w:w="4100" w:type="dxa"/>
            <w:tcMar>
              <w:top w:w="10" w:type="dxa"/>
              <w:left w:w="10" w:type="dxa"/>
              <w:right w:w="10" w:type="dxa"/>
            </w:tcMar>
            <w:vAlign w:val="center"/>
          </w:tcPr>
          <w:p w14:paraId="0D26642C">
            <w:pPr>
              <w:widowControl/>
              <w:spacing w:line="360" w:lineRule="auto"/>
              <w:jc w:val="left"/>
              <w:rPr>
                <w:rFonts w:hint="eastAsia" w:ascii="宋体" w:hAnsi="宋体" w:eastAsia="宋体" w:cs="宋体"/>
                <w:sz w:val="24"/>
                <w:szCs w:val="24"/>
              </w:rPr>
            </w:pPr>
            <w:r>
              <w:rPr>
                <w:rFonts w:hint="eastAsia" w:ascii="宋体" w:hAnsi="宋体" w:eastAsia="宋体" w:cs="宋体"/>
                <w:bCs/>
                <w:sz w:val="24"/>
                <w:szCs w:val="24"/>
              </w:rPr>
              <w:t>经乙方审核过的施工图设计文件若出现Ⅲ类错误（</w:t>
            </w:r>
            <w:r>
              <w:rPr>
                <w:rFonts w:hint="eastAsia" w:ascii="宋体" w:hAnsi="宋体" w:eastAsia="宋体" w:cs="宋体"/>
                <w:b/>
                <w:sz w:val="24"/>
                <w:szCs w:val="24"/>
              </w:rPr>
              <w:t>图面深度不够或工种配合的一般性错误，容易修正，对使用效果不致造成影响或产生重大安全隐患的。</w:t>
            </w:r>
            <w:r>
              <w:rPr>
                <w:rFonts w:hint="eastAsia" w:ascii="宋体" w:hAnsi="宋体" w:eastAsia="宋体" w:cs="宋体"/>
                <w:bCs/>
                <w:sz w:val="24"/>
                <w:szCs w:val="24"/>
              </w:rPr>
              <w:t>）多于4N（含4N个，N为施工图中A1标准图纸数量）个者，</w:t>
            </w:r>
            <w:r>
              <w:rPr>
                <w:rFonts w:hint="eastAsia" w:ascii="宋体" w:hAnsi="宋体" w:eastAsia="宋体" w:cs="宋体"/>
                <w:kern w:val="0"/>
                <w:sz w:val="24"/>
                <w:szCs w:val="24"/>
              </w:rPr>
              <w:t>甲方有权作出相应处罚。</w:t>
            </w:r>
          </w:p>
        </w:tc>
        <w:tc>
          <w:tcPr>
            <w:tcW w:w="3827" w:type="dxa"/>
            <w:tcMar>
              <w:top w:w="10" w:type="dxa"/>
              <w:left w:w="10" w:type="dxa"/>
              <w:right w:w="10" w:type="dxa"/>
            </w:tcMar>
            <w:vAlign w:val="center"/>
          </w:tcPr>
          <w:p w14:paraId="14DDAED3">
            <w:pPr>
              <w:widowControl/>
              <w:spacing w:line="360" w:lineRule="auto"/>
              <w:jc w:val="left"/>
              <w:rPr>
                <w:rFonts w:hint="eastAsia" w:ascii="宋体" w:hAnsi="宋体" w:eastAsia="宋体" w:cs="宋体"/>
                <w:sz w:val="24"/>
                <w:szCs w:val="24"/>
              </w:rPr>
            </w:pPr>
            <w:r>
              <w:rPr>
                <w:rFonts w:hint="eastAsia" w:ascii="宋体" w:hAnsi="宋体" w:eastAsia="宋体" w:cs="宋体"/>
                <w:bCs/>
                <w:sz w:val="24"/>
                <w:szCs w:val="24"/>
              </w:rPr>
              <w:t>每增加10个问题扣除人民币40元整（不超过10个按照10个计算）。</w:t>
            </w:r>
          </w:p>
        </w:tc>
      </w:tr>
    </w:tbl>
    <w:p w14:paraId="6BFDAA1B">
      <w:pPr>
        <w:tabs>
          <w:tab w:val="left" w:pos="426"/>
        </w:tabs>
        <w:adjustRightInd w:val="0"/>
        <w:snapToGrid w:val="0"/>
        <w:spacing w:line="360" w:lineRule="auto"/>
        <w:ind w:firstLine="482" w:firstLineChars="200"/>
        <w:jc w:val="left"/>
        <w:rPr>
          <w:rFonts w:hint="eastAsia" w:ascii="宋体" w:hAnsi="宋体" w:eastAsia="宋体" w:cs="Times New Roman"/>
          <w:b/>
          <w:sz w:val="24"/>
        </w:rPr>
      </w:pPr>
      <w:r>
        <w:rPr>
          <w:rFonts w:hint="eastAsia" w:ascii="宋体" w:hAnsi="宋体" w:eastAsia="宋体" w:cs="Times New Roman"/>
          <w:b/>
          <w:sz w:val="24"/>
        </w:rPr>
        <w:t>21</w:t>
      </w:r>
      <w:r>
        <w:rPr>
          <w:rFonts w:ascii="宋体" w:hAnsi="宋体" w:eastAsia="宋体" w:cs="Times New Roman"/>
          <w:b/>
          <w:sz w:val="24"/>
        </w:rPr>
        <w:t>、争议的解决</w:t>
      </w:r>
    </w:p>
    <w:bookmarkEnd w:id="9"/>
    <w:p w14:paraId="7D73C278">
      <w:pPr>
        <w:adjustRightInd w:val="0"/>
        <w:snapToGrid w:val="0"/>
        <w:spacing w:line="360" w:lineRule="auto"/>
        <w:ind w:firstLine="480" w:firstLineChars="200"/>
        <w:rPr>
          <w:rFonts w:hint="eastAsia" w:ascii="宋体" w:hAnsi="宋体" w:eastAsia="宋体" w:cs="Times New Roman"/>
          <w:bCs/>
          <w:sz w:val="24"/>
        </w:rPr>
      </w:pPr>
      <w:r>
        <w:rPr>
          <w:rFonts w:ascii="宋体" w:hAnsi="宋体" w:eastAsia="宋体" w:cs="Times New Roman"/>
          <w:bCs/>
          <w:sz w:val="24"/>
        </w:rPr>
        <w:t>通用条款第</w:t>
      </w:r>
      <w:r>
        <w:rPr>
          <w:rFonts w:hint="eastAsia" w:ascii="宋体" w:hAnsi="宋体" w:eastAsia="宋体" w:cs="Times New Roman"/>
          <w:bCs/>
          <w:sz w:val="24"/>
        </w:rPr>
        <w:t>21条第</w:t>
      </w:r>
      <w:r>
        <w:rPr>
          <w:rFonts w:ascii="宋体" w:hAnsi="宋体" w:eastAsia="宋体" w:cs="Times New Roman"/>
          <w:bCs/>
          <w:sz w:val="24"/>
        </w:rPr>
        <w:t>21.1款</w:t>
      </w:r>
      <w:r>
        <w:rPr>
          <w:rFonts w:hint="eastAsia" w:ascii="宋体" w:hAnsi="宋体" w:eastAsia="宋体" w:cs="Times New Roman"/>
          <w:bCs/>
          <w:sz w:val="24"/>
        </w:rPr>
        <w:t>修改为</w:t>
      </w:r>
      <w:r>
        <w:rPr>
          <w:rFonts w:ascii="宋体" w:hAnsi="宋体" w:eastAsia="宋体" w:cs="Times New Roman"/>
          <w:bCs/>
          <w:sz w:val="24"/>
        </w:rPr>
        <w:t>：双方在执行合同过程中因违反合同规定的义务而产生分歧和争议以及造成对方损失时，双方应本着合作精神，通过友好协商解决；</w:t>
      </w:r>
      <w:r>
        <w:rPr>
          <w:rFonts w:hint="eastAsia" w:ascii="宋体" w:hAnsi="宋体" w:eastAsia="宋体" w:cs="Times New Roman"/>
          <w:sz w:val="24"/>
          <w:szCs w:val="24"/>
        </w:rPr>
        <w:t>如果争议通过协商未能解决，双方中任何一方有权将争议提交委托人所在地人民法院诉讼解决。</w:t>
      </w:r>
    </w:p>
    <w:p w14:paraId="5CF86EC0">
      <w:pPr>
        <w:autoSpaceDE w:val="0"/>
        <w:autoSpaceDN w:val="0"/>
        <w:adjustRightInd w:val="0"/>
        <w:snapToGrid w:val="0"/>
        <w:spacing w:line="360" w:lineRule="auto"/>
        <w:ind w:firstLine="482" w:firstLineChars="200"/>
        <w:rPr>
          <w:rFonts w:hint="eastAsia" w:ascii="宋体" w:hAnsi="宋体" w:eastAsia="宋体" w:cs="Times New Roman"/>
          <w:b/>
          <w:sz w:val="24"/>
        </w:rPr>
      </w:pPr>
      <w:r>
        <w:rPr>
          <w:rFonts w:hint="eastAsia" w:ascii="宋体" w:hAnsi="宋体" w:eastAsia="宋体" w:cs="Times New Roman"/>
          <w:b/>
          <w:sz w:val="24"/>
        </w:rPr>
        <w:t>26</w:t>
      </w:r>
      <w:r>
        <w:rPr>
          <w:rFonts w:ascii="宋体" w:hAnsi="宋体" w:eastAsia="宋体" w:cs="Times New Roman"/>
          <w:b/>
          <w:sz w:val="24"/>
        </w:rPr>
        <w:t>、本合同工作范围</w:t>
      </w:r>
    </w:p>
    <w:p w14:paraId="41BDB103">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本合同工作时间</w:t>
      </w:r>
      <w:r>
        <w:rPr>
          <w:rFonts w:hint="eastAsia" w:ascii="宋体" w:hAnsi="宋体" w:eastAsia="宋体" w:cs="宋体"/>
          <w:sz w:val="24"/>
          <w:szCs w:val="24"/>
        </w:rPr>
        <w:t>自合同签订之日起至项目竣工验收完成止。其中：</w:t>
      </w:r>
    </w:p>
    <w:p w14:paraId="253CA432">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项目全部设计咨询服务工作分各个阶段完成，各阶段具体划分为：方案设计、初步设计优化、施工图设计、分项及专项深化设计、施工配合阶段。优化咨询需采用甲方格式的意见模板（后续提供），所有意见经咨询、设计、甲方三方确认后作为优化咨询服务的成果依据。各阶段咨询服务工作完成后，需向建设单位提交由设计咨询单位人员签字、盖章的《设计咨询报告》或《</w:t>
      </w:r>
      <w:r>
        <w:rPr>
          <w:rFonts w:hint="eastAsia" w:ascii="宋体" w:hAnsi="宋体" w:eastAsia="宋体" w:cs="宋体"/>
          <w:sz w:val="24"/>
          <w:szCs w:val="24"/>
          <w:lang w:eastAsia="zh-CN"/>
        </w:rPr>
        <w:t>设计文件优化咨询报告</w:t>
      </w:r>
      <w:r>
        <w:rPr>
          <w:rFonts w:hint="eastAsia" w:ascii="宋体" w:hAnsi="宋体" w:eastAsia="宋体" w:cs="宋体"/>
          <w:sz w:val="24"/>
          <w:szCs w:val="24"/>
        </w:rPr>
        <w:t>》。</w:t>
      </w:r>
    </w:p>
    <w:p w14:paraId="2273DF6B">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26.1方案设计</w:t>
      </w:r>
    </w:p>
    <w:p w14:paraId="524EC9C3">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对设计单位完成的方案设计文件进行审查和优化咨询，审查设计文件的完整性、正确性及设计深度情况，对方案的合规性、合理性、可行性进行评审。具体包括对政府有关主管部门批文的要求及指标的复核；对方案设计的规划、总图、空间、消防、节能、绿色环保等设计做出整体评估；分析结构方案、机电系统方案的合理性、可行性，并提出优化意见。</w:t>
      </w:r>
    </w:p>
    <w:p w14:paraId="339F1907">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26.2初步设计</w:t>
      </w:r>
    </w:p>
    <w:p w14:paraId="798FFD8D">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对设计单位提交的初步设计文件进行审查和优化咨询，审查设计文件的完整性、正确性及设计深度情况，对设计的合理性、可行性和经济性进行评审。具体包括指导落实方案阶段评估意见、优化建议及政府有关主管部门（规划、消防、人防、环保等）的审批意见；对初步设计的规划、总图、流线、功能、空间、消防、人防、节能、绿色环保等设计做出整体评估；通过多方案比选，分析结构方案各分体系具体方案的合理性，对计算参数的选择、基础选型、结构方案布置（竖向构件、水平构件）、材料选择提出结构专业咨询意见；分析各机电系统的可行性、初次投资的经济性、日后运营成本和维护的合理性，通过多方案比选，对设备系统的确定、计算参数的选择、设备选型、设备布置、器材、管材及主要构筑物的选择提出咨询建议，协助业主确定最佳方案；对建筑内部管线综合提供建议或意见，必要时对设计单位进行直接指导；对电梯的数量、技术参数、布局提供建议或意见；对幕墙部分的设计提供建议或参考意见。同时对下一步施工图设计提出应注意的系统性指导意见。</w:t>
      </w:r>
    </w:p>
    <w:p w14:paraId="23FF0C86">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26.3施工图设计</w:t>
      </w:r>
    </w:p>
    <w:p w14:paraId="0A9045BA">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对设计单位提交的施工图设计文件进行全面细致的审查和优化咨询，审查设计文件的完整性、正确性及设计深度情况，具体包括：根据主管部门审批意见及相关法规、规范确定设计原则，提出咨询意见；审查初步设计阶段专家评审意见、业主意见、咨询单位评审意见的修改落实情况；审查政府相关部门审查意见的执行情况；对需落实的优化改进建议提出事先指导意见，并指导设计单位落实；参加由业主组织的评审会和专项技术讨论会，提出咨询意见，并形成书面报告，报建设方决策；从技术上把关，审查施工图设计是否合理，并提出优化建议；从程序上协助业主顺利完成工程报建；查找并解决各专业及专业之间图纸的错、漏、碰、缺问题，最大限度减少施工阶段由于设计错误造成的设计变更。</w:t>
      </w:r>
    </w:p>
    <w:p w14:paraId="5BCFAA44">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26.4施工服务阶段</w:t>
      </w:r>
    </w:p>
    <w:p w14:paraId="48C3C74C">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协助委托人对分项工程的二次施工图（深化）设计方案、技术方案进行技术咨询；协助委托人对重要的、涉及成本控制的主要设计变更、施工洽商进行技术咨询，提出审查意见和优化建议。</w:t>
      </w:r>
    </w:p>
    <w:p w14:paraId="19C18B39">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26.5其他服务内容</w:t>
      </w:r>
    </w:p>
    <w:p w14:paraId="3106D0AA">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（1）在设计过程中出现的技术问题，承包方有职责与设计单位协商，并提供解决问题的方案供委托人参考。</w:t>
      </w:r>
    </w:p>
    <w:p w14:paraId="6D7FE41E">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（2）协助委托人对相关单位提供的与设计相关的施工方案进行审核并提出合理化建议。</w:t>
      </w:r>
    </w:p>
    <w:p w14:paraId="5E5F5559">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（3）审核设计变更的可行性、合理性及经济性。</w:t>
      </w:r>
    </w:p>
    <w:p w14:paraId="0A5A1A51">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（4）参与重要设计节点评审会议、重大专业技术问题研讨会议，并提供专业建议。</w:t>
      </w:r>
    </w:p>
    <w:p w14:paraId="3DB046E1">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26.6咨询服务成果要求</w:t>
      </w:r>
    </w:p>
    <w:p w14:paraId="2E9BFB15">
      <w:pPr>
        <w:spacing w:line="360" w:lineRule="auto"/>
        <w:ind w:firstLine="480" w:firstLineChars="200"/>
        <w:rPr>
          <w:rFonts w:hint="eastAsia" w:ascii="宋体" w:hAnsi="宋体" w:eastAsia="宋体" w:cs="Times New Roman"/>
          <w:sz w:val="24"/>
          <w:lang w:val="zh-CN"/>
        </w:rPr>
      </w:pPr>
      <w:r>
        <w:rPr>
          <w:rFonts w:hint="eastAsia" w:ascii="宋体" w:hAnsi="宋体" w:eastAsia="宋体" w:cs="宋体"/>
          <w:sz w:val="24"/>
          <w:szCs w:val="24"/>
        </w:rPr>
        <w:t>在委托人向受托人提交方案阶段、初步设计阶段、施工图设计阶段相应阶段成果后10个工作日内，完成各阶段设计文件审查和优化咨询工作，提交电子版各专业审图意见及优化建议，并根据意见的重要性进行分类；收到设计单位根据审查意见修改之后的设计文件后5个工作日完成设计文件审查复审工作，施工图审查合格后在肆套施工图设计文件（返回委托人叁套，受托人存档壹套）上加盖技术咨询专用章并提交《设计文件精细审查终审意见》、《设计文件优化咨询报告》、《审查合格书》各叁份，其他涉及审查和优化咨询服务的过程资料一式叁份。《审查合格书》《设计文件精细审查终审意见》、《设计文件优化咨询报告》应当有各专业的审查人员签字，经法定代表人签发，并加盖受托人公章。</w:t>
      </w:r>
    </w:p>
    <w:p w14:paraId="30FC2A33">
      <w:pPr>
        <w:autoSpaceDE w:val="0"/>
        <w:autoSpaceDN w:val="0"/>
        <w:adjustRightInd w:val="0"/>
        <w:snapToGrid w:val="0"/>
        <w:spacing w:line="360" w:lineRule="auto"/>
        <w:ind w:firstLine="482" w:firstLineChars="200"/>
        <w:rPr>
          <w:rFonts w:hint="eastAsia" w:ascii="宋体" w:hAnsi="宋体" w:eastAsia="宋体" w:cs="Times New Roman"/>
          <w:b/>
          <w:sz w:val="24"/>
        </w:rPr>
      </w:pPr>
      <w:r>
        <w:rPr>
          <w:rFonts w:hint="eastAsia" w:ascii="宋体" w:hAnsi="宋体" w:eastAsia="宋体" w:cs="Times New Roman"/>
          <w:b/>
          <w:sz w:val="24"/>
        </w:rPr>
        <w:t>27、</w:t>
      </w:r>
      <w:r>
        <w:rPr>
          <w:rFonts w:ascii="宋体" w:hAnsi="宋体" w:eastAsia="宋体" w:cs="Times New Roman"/>
          <w:b/>
          <w:sz w:val="24"/>
        </w:rPr>
        <w:t>其他</w:t>
      </w:r>
    </w:p>
    <w:p w14:paraId="54EBAAA3">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27</w:t>
      </w:r>
      <w:r>
        <w:rPr>
          <w:rFonts w:hint="eastAsia" w:ascii="宋体" w:hAnsi="宋体" w:eastAsia="宋体" w:cs="宋体"/>
          <w:sz w:val="24"/>
          <w:szCs w:val="24"/>
          <w:lang w:val="zh-CN"/>
        </w:rPr>
        <w:t>.1 在本合同执行过程中，双方对于各种问题的提出或答复，均应以有关部门负责人签字的书面文件形式为准，任何情况下任何一方都不能拒收对方送交的书面函件。</w:t>
      </w:r>
    </w:p>
    <w:p w14:paraId="6FFE0D52">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27</w:t>
      </w:r>
      <w:r>
        <w:rPr>
          <w:rFonts w:hint="eastAsia" w:ascii="宋体" w:hAnsi="宋体" w:eastAsia="宋体" w:cs="宋体"/>
          <w:sz w:val="24"/>
          <w:szCs w:val="24"/>
          <w:lang w:val="zh-CN"/>
        </w:rPr>
        <w:t>.2 本合同附件、本合同有关会议纪要及补充协议与本合同书具有同等法律效力。</w:t>
      </w:r>
    </w:p>
    <w:p w14:paraId="00520864">
      <w:pPr>
        <w:autoSpaceDE w:val="0"/>
        <w:autoSpaceDN w:val="0"/>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27.3 委托人或设计单位对受托人提交的审查报告如有重大不同意见时，应首先与受托人协商解决。协商不成时，可由委托人或设计单位向市建设行政主管部门提出复查申请，由市建设行政主管部门组织专家论证复查并做出复查结论,复查费用由与专家复查结论持不同意见的一方承担。委托人或设计单位对复查结论仍有分歧时可通过法律途径解决争端。</w:t>
      </w:r>
    </w:p>
    <w:p w14:paraId="661892B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27.4本合同所称“合同价”、“合同总价”、“合同总额”、“暂定合同价”和“合同暂定价”，均为中标通知书中的中标价。</w:t>
      </w:r>
    </w:p>
    <w:p w14:paraId="57C1144D">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27.5双方履行完合同规定的义务后，本合同即行终止。</w:t>
      </w:r>
    </w:p>
    <w:p w14:paraId="2534C170">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（以下无正文）</w:t>
      </w:r>
    </w:p>
    <w:p w14:paraId="73EDBC01">
      <w:pPr>
        <w:rPr>
          <w:rFonts w:hint="eastAsia" w:ascii="宋体" w:hAnsi="宋体" w:eastAsia="宋体"/>
        </w:rPr>
      </w:pPr>
      <w:r>
        <w:rPr>
          <w:rFonts w:ascii="宋体" w:hAnsi="宋体" w:eastAsia="宋体"/>
        </w:rPr>
        <w:br w:type="page"/>
      </w:r>
    </w:p>
    <w:p w14:paraId="025255CC">
      <w:pPr>
        <w:outlineLvl w:val="0"/>
        <w:rPr>
          <w:rFonts w:hint="eastAsia" w:ascii="宋体" w:hAnsi="宋体" w:eastAsia="宋体" w:cs="宋体"/>
          <w:b/>
          <w:sz w:val="28"/>
          <w:szCs w:val="28"/>
        </w:rPr>
      </w:pPr>
      <w:r>
        <w:rPr>
          <w:rFonts w:hint="eastAsia" w:ascii="宋体" w:hAnsi="宋体" w:eastAsia="宋体" w:cs="宋体"/>
          <w:b/>
          <w:sz w:val="28"/>
          <w:szCs w:val="28"/>
        </w:rPr>
        <w:t>附件1: 中标通知书</w:t>
      </w:r>
    </w:p>
    <w:p w14:paraId="2BB22816">
      <w:pPr>
        <w:spacing w:after="120" w:line="312" w:lineRule="atLeast"/>
        <w:rPr>
          <w:rFonts w:hint="eastAsia"/>
        </w:rPr>
      </w:pPr>
    </w:p>
    <w:p w14:paraId="6CB89794">
      <w:pPr>
        <w:rPr>
          <w:rFonts w:hint="eastAsia"/>
        </w:rPr>
      </w:pPr>
      <w:r>
        <w:br w:type="page"/>
      </w:r>
    </w:p>
    <w:p w14:paraId="40AFF37C">
      <w:pPr>
        <w:outlineLvl w:val="0"/>
        <w:rPr>
          <w:rFonts w:hint="eastAsia" w:ascii="宋体" w:hAnsi="宋体" w:eastAsia="宋体" w:cs="宋体"/>
          <w:b/>
          <w:bCs/>
          <w:kern w:val="0"/>
          <w:sz w:val="28"/>
          <w:szCs w:val="28"/>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sz w:val="28"/>
          <w:szCs w:val="28"/>
        </w:rPr>
        <w:t>附件2：投标文件</w:t>
      </w:r>
    </w:p>
    <w:p w14:paraId="41F5166C">
      <w:pPr>
        <w:outlineLvl w:val="0"/>
        <w:rPr>
          <w:rFonts w:hint="eastAsia" w:ascii="宋体" w:hAnsi="宋体" w:eastAsia="宋体" w:cs="宋体"/>
          <w:b/>
          <w:bCs/>
          <w:kern w:val="0"/>
          <w:sz w:val="28"/>
          <w:szCs w:val="28"/>
        </w:rPr>
      </w:pPr>
      <w:r>
        <w:rPr>
          <w:rFonts w:hint="eastAsia" w:ascii="宋体" w:hAnsi="宋体" w:eastAsia="宋体" w:cs="宋体"/>
          <w:b/>
          <w:bCs/>
          <w:kern w:val="0"/>
          <w:sz w:val="28"/>
          <w:szCs w:val="28"/>
        </w:rPr>
        <w:t>附件3：履约评价办法</w:t>
      </w:r>
    </w:p>
    <w:p w14:paraId="726A0798">
      <w:pPr>
        <w:rPr>
          <w:rFonts w:hint="eastAsia"/>
        </w:rPr>
      </w:pPr>
      <w:bookmarkStart w:id="10" w:name="OLE_LINK18"/>
    </w:p>
    <w:bookmarkEnd w:id="10"/>
    <w:p w14:paraId="2E93703C">
      <w:pPr>
        <w:rPr>
          <w:rFonts w:hint="eastAsia" w:ascii="宋体" w:hAnsi="宋体" w:eastAsia="宋体" w:cs="Times New Roman"/>
          <w:b/>
          <w:sz w:val="32"/>
          <w:szCs w:val="32"/>
        </w:rPr>
      </w:pPr>
      <w:r>
        <w:rPr>
          <w:rFonts w:hint="eastAsia" w:ascii="宋体" w:hAnsi="宋体" w:eastAsia="宋体" w:cs="Times New Roman"/>
          <w:b/>
          <w:sz w:val="32"/>
          <w:szCs w:val="32"/>
        </w:rPr>
        <w:br w:type="page"/>
      </w:r>
    </w:p>
    <w:p w14:paraId="32FE418E">
      <w:pPr>
        <w:pStyle w:val="2"/>
        <w:rPr>
          <w:rFonts w:hint="eastAsia" w:ascii="宋体" w:hAnsi="宋体" w:eastAsia="宋体" w:cs="Times New Roman"/>
          <w:bCs/>
          <w:sz w:val="32"/>
          <w:szCs w:val="32"/>
        </w:rPr>
      </w:pPr>
      <w:r>
        <w:rPr>
          <w:rFonts w:hint="eastAsia" w:ascii="宋体" w:hAnsi="宋体" w:eastAsia="宋体" w:cs="Times New Roman"/>
          <w:b/>
          <w:sz w:val="32"/>
          <w:szCs w:val="32"/>
        </w:rPr>
        <w:t>附件4：设计文件优化咨询意见表</w:t>
      </w:r>
    </w:p>
    <w:p w14:paraId="5F25B356">
      <w:pPr>
        <w:spacing w:line="360" w:lineRule="auto"/>
        <w:jc w:val="left"/>
        <w:rPr>
          <w:rFonts w:hint="eastAsia" w:ascii="宋体" w:hAnsi="宋体" w:eastAsia="宋体" w:cs="Times New Roman"/>
          <w:bCs/>
          <w:sz w:val="32"/>
          <w:szCs w:val="32"/>
        </w:rPr>
      </w:pPr>
    </w:p>
    <w:tbl>
      <w:tblPr>
        <w:tblStyle w:val="80"/>
        <w:tblpPr w:leftFromText="180" w:rightFromText="180" w:vertAnchor="text" w:horzAnchor="page" w:tblpX="970" w:tblpY="903"/>
        <w:tblOverlap w:val="never"/>
        <w:tblW w:w="10429" w:type="dxa"/>
        <w:tblInd w:w="0" w:type="dxa"/>
        <w:tblLayout w:type="fixed"/>
        <w:tblCellMar>
          <w:top w:w="0" w:type="dxa"/>
          <w:left w:w="108" w:type="dxa"/>
          <w:bottom w:w="0" w:type="dxa"/>
          <w:right w:w="108" w:type="dxa"/>
        </w:tblCellMar>
      </w:tblPr>
      <w:tblGrid>
        <w:gridCol w:w="417"/>
        <w:gridCol w:w="662"/>
        <w:gridCol w:w="1066"/>
        <w:gridCol w:w="314"/>
        <w:gridCol w:w="766"/>
        <w:gridCol w:w="927"/>
        <w:gridCol w:w="868"/>
        <w:gridCol w:w="700"/>
        <w:gridCol w:w="680"/>
        <w:gridCol w:w="1452"/>
        <w:gridCol w:w="689"/>
        <w:gridCol w:w="689"/>
        <w:gridCol w:w="1199"/>
      </w:tblGrid>
      <w:tr w14:paraId="5BAB51A3">
        <w:tblPrEx>
          <w:tblCellMar>
            <w:top w:w="0" w:type="dxa"/>
            <w:left w:w="108" w:type="dxa"/>
            <w:bottom w:w="0" w:type="dxa"/>
            <w:right w:w="108" w:type="dxa"/>
          </w:tblCellMar>
        </w:tblPrEx>
        <w:trPr>
          <w:trHeight w:val="420" w:hRule="atLeast"/>
        </w:trPr>
        <w:tc>
          <w:tcPr>
            <w:tcW w:w="10429" w:type="dxa"/>
            <w:gridSpan w:val="13"/>
            <w:tcBorders>
              <w:top w:val="nil"/>
              <w:left w:val="nil"/>
              <w:bottom w:val="nil"/>
              <w:right w:val="nil"/>
            </w:tcBorders>
            <w:noWrap/>
            <w:vAlign w:val="center"/>
          </w:tcPr>
          <w:p w14:paraId="445DC069">
            <w:pPr>
              <w:widowControl/>
              <w:jc w:val="left"/>
              <w:textAlignment w:val="center"/>
              <w:rPr>
                <w:rFonts w:hint="eastAsia" w:ascii="宋体" w:hAnsi="宋体" w:eastAsia="宋体" w:cs="宋体"/>
                <w:b/>
                <w:bCs/>
                <w:sz w:val="22"/>
              </w:rPr>
            </w:pPr>
            <w:r>
              <w:rPr>
                <w:rFonts w:hint="eastAsia" w:ascii="宋体" w:hAnsi="宋体" w:eastAsia="宋体" w:cs="宋体"/>
                <w:b/>
                <w:bCs/>
                <w:kern w:val="0"/>
                <w:sz w:val="22"/>
              </w:rPr>
              <w:t>咨询单位：xxx有限公司</w:t>
            </w:r>
          </w:p>
        </w:tc>
      </w:tr>
      <w:tr w14:paraId="0C34B7EA">
        <w:tblPrEx>
          <w:tblCellMar>
            <w:top w:w="0" w:type="dxa"/>
            <w:left w:w="108" w:type="dxa"/>
            <w:bottom w:w="0" w:type="dxa"/>
            <w:right w:w="108" w:type="dxa"/>
          </w:tblCellMar>
        </w:tblPrEx>
        <w:trPr>
          <w:trHeight w:val="495" w:hRule="atLeast"/>
        </w:trPr>
        <w:tc>
          <w:tcPr>
            <w:tcW w:w="417" w:type="dxa"/>
            <w:vMerge w:val="restart"/>
            <w:tcBorders>
              <w:top w:val="single" w:color="000000" w:sz="8" w:space="0"/>
              <w:left w:val="single" w:color="000000" w:sz="8" w:space="0"/>
              <w:bottom w:val="single" w:color="000000" w:sz="4" w:space="0"/>
              <w:right w:val="single" w:color="000000" w:sz="4" w:space="0"/>
            </w:tcBorders>
            <w:vAlign w:val="center"/>
          </w:tcPr>
          <w:p w14:paraId="5667BDB8">
            <w:pPr>
              <w:widowControl/>
              <w:jc w:val="center"/>
              <w:textAlignment w:val="center"/>
              <w:rPr>
                <w:rFonts w:hint="eastAsia" w:ascii="宋体" w:hAnsi="宋体" w:eastAsia="宋体" w:cs="宋体"/>
                <w:b/>
                <w:bCs/>
                <w:sz w:val="20"/>
                <w:szCs w:val="20"/>
              </w:rPr>
            </w:pPr>
            <w:r>
              <w:rPr>
                <w:rFonts w:hint="eastAsia" w:ascii="宋体" w:hAnsi="宋体" w:eastAsia="宋体" w:cs="宋体"/>
                <w:b/>
                <w:bCs/>
                <w:kern w:val="0"/>
                <w:sz w:val="20"/>
                <w:szCs w:val="20"/>
              </w:rPr>
              <w:t>序号</w:t>
            </w:r>
          </w:p>
        </w:tc>
        <w:tc>
          <w:tcPr>
            <w:tcW w:w="662" w:type="dxa"/>
            <w:vMerge w:val="restart"/>
            <w:tcBorders>
              <w:top w:val="single" w:color="000000" w:sz="8" w:space="0"/>
              <w:left w:val="single" w:color="000000" w:sz="4" w:space="0"/>
              <w:bottom w:val="single" w:color="000000" w:sz="4" w:space="0"/>
              <w:right w:val="single" w:color="000000" w:sz="4" w:space="0"/>
            </w:tcBorders>
            <w:vAlign w:val="center"/>
          </w:tcPr>
          <w:p w14:paraId="64E61E13">
            <w:pPr>
              <w:widowControl/>
              <w:jc w:val="center"/>
              <w:textAlignment w:val="center"/>
              <w:rPr>
                <w:rFonts w:hint="eastAsia" w:ascii="宋体" w:hAnsi="宋体" w:eastAsia="宋体" w:cs="宋体"/>
                <w:b/>
                <w:bCs/>
                <w:sz w:val="20"/>
                <w:szCs w:val="20"/>
              </w:rPr>
            </w:pPr>
            <w:r>
              <w:rPr>
                <w:rFonts w:hint="eastAsia" w:ascii="宋体" w:hAnsi="宋体" w:eastAsia="宋体" w:cs="宋体"/>
                <w:b/>
                <w:bCs/>
                <w:kern w:val="0"/>
                <w:sz w:val="20"/>
                <w:szCs w:val="20"/>
              </w:rPr>
              <w:t>图号</w:t>
            </w:r>
          </w:p>
        </w:tc>
        <w:tc>
          <w:tcPr>
            <w:tcW w:w="1066" w:type="dxa"/>
            <w:vMerge w:val="restart"/>
            <w:tcBorders>
              <w:top w:val="single" w:color="000000" w:sz="8" w:space="0"/>
              <w:left w:val="single" w:color="000000" w:sz="4" w:space="0"/>
              <w:bottom w:val="single" w:color="000000" w:sz="4" w:space="0"/>
              <w:right w:val="single" w:color="000000" w:sz="4" w:space="0"/>
            </w:tcBorders>
            <w:vAlign w:val="center"/>
          </w:tcPr>
          <w:p w14:paraId="6B1C9DC2">
            <w:pPr>
              <w:widowControl/>
              <w:jc w:val="center"/>
              <w:textAlignment w:val="center"/>
              <w:rPr>
                <w:rFonts w:hint="eastAsia" w:ascii="宋体" w:hAnsi="宋体" w:eastAsia="宋体" w:cs="宋体"/>
                <w:b/>
                <w:bCs/>
                <w:sz w:val="20"/>
                <w:szCs w:val="20"/>
              </w:rPr>
            </w:pPr>
            <w:r>
              <w:rPr>
                <w:rFonts w:hint="eastAsia" w:ascii="宋体" w:hAnsi="宋体" w:eastAsia="宋体" w:cs="宋体"/>
                <w:b/>
                <w:bCs/>
                <w:kern w:val="0"/>
                <w:sz w:val="20"/>
                <w:szCs w:val="20"/>
              </w:rPr>
              <w:t>意见内容</w:t>
            </w:r>
          </w:p>
        </w:tc>
        <w:tc>
          <w:tcPr>
            <w:tcW w:w="1080" w:type="dxa"/>
            <w:gridSpan w:val="2"/>
            <w:vMerge w:val="restart"/>
            <w:tcBorders>
              <w:top w:val="single" w:color="000000" w:sz="8" w:space="0"/>
              <w:left w:val="single" w:color="000000" w:sz="4" w:space="0"/>
              <w:bottom w:val="single" w:color="000000" w:sz="4" w:space="0"/>
              <w:right w:val="nil"/>
            </w:tcBorders>
            <w:vAlign w:val="center"/>
          </w:tcPr>
          <w:p w14:paraId="43DD1A08">
            <w:pPr>
              <w:widowControl/>
              <w:jc w:val="center"/>
              <w:textAlignment w:val="center"/>
              <w:rPr>
                <w:rFonts w:hint="eastAsia" w:ascii="宋体" w:hAnsi="宋体" w:eastAsia="宋体" w:cs="宋体"/>
                <w:b/>
                <w:bCs/>
                <w:sz w:val="20"/>
                <w:szCs w:val="20"/>
              </w:rPr>
            </w:pPr>
            <w:r>
              <w:rPr>
                <w:rFonts w:hint="eastAsia" w:ascii="宋体" w:hAnsi="宋体" w:eastAsia="宋体" w:cs="宋体"/>
                <w:b/>
                <w:bCs/>
                <w:kern w:val="0"/>
                <w:sz w:val="20"/>
                <w:szCs w:val="20"/>
              </w:rPr>
              <w:t>措施建议</w:t>
            </w:r>
          </w:p>
        </w:tc>
        <w:tc>
          <w:tcPr>
            <w:tcW w:w="1795" w:type="dxa"/>
            <w:gridSpan w:val="2"/>
            <w:vMerge w:val="restart"/>
            <w:tcBorders>
              <w:top w:val="single" w:color="000000" w:sz="8" w:space="0"/>
              <w:left w:val="single" w:color="000000" w:sz="8" w:space="0"/>
              <w:bottom w:val="single" w:color="000000" w:sz="4" w:space="0"/>
              <w:right w:val="nil"/>
            </w:tcBorders>
            <w:vAlign w:val="center"/>
          </w:tcPr>
          <w:p w14:paraId="143C76CE">
            <w:pPr>
              <w:widowControl/>
              <w:jc w:val="center"/>
              <w:textAlignment w:val="center"/>
              <w:rPr>
                <w:rFonts w:hint="eastAsia" w:ascii="宋体" w:hAnsi="宋体" w:eastAsia="宋体" w:cs="宋体"/>
                <w:b/>
                <w:bCs/>
                <w:sz w:val="20"/>
                <w:szCs w:val="20"/>
              </w:rPr>
            </w:pPr>
            <w:r>
              <w:rPr>
                <w:rFonts w:hint="eastAsia" w:ascii="宋体" w:hAnsi="宋体" w:eastAsia="宋体" w:cs="宋体"/>
                <w:b/>
                <w:bCs/>
                <w:kern w:val="0"/>
                <w:sz w:val="20"/>
                <w:szCs w:val="20"/>
              </w:rPr>
              <w:t>优化前后对比</w:t>
            </w:r>
            <w:r>
              <w:rPr>
                <w:rFonts w:hint="eastAsia" w:ascii="宋体" w:hAnsi="宋体" w:eastAsia="宋体" w:cs="宋体"/>
                <w:b/>
                <w:bCs/>
                <w:kern w:val="0"/>
                <w:sz w:val="20"/>
                <w:szCs w:val="20"/>
              </w:rPr>
              <w:br w:type="textWrapping"/>
            </w:r>
            <w:r>
              <w:rPr>
                <w:rFonts w:hint="eastAsia" w:ascii="宋体" w:hAnsi="宋体" w:eastAsia="宋体" w:cs="宋体"/>
                <w:b/>
                <w:bCs/>
                <w:kern w:val="0"/>
                <w:sz w:val="20"/>
                <w:szCs w:val="20"/>
              </w:rPr>
              <w:t>（截图或附件）</w:t>
            </w:r>
          </w:p>
        </w:tc>
        <w:tc>
          <w:tcPr>
            <w:tcW w:w="2832" w:type="dxa"/>
            <w:gridSpan w:val="3"/>
            <w:tcBorders>
              <w:top w:val="single" w:color="000000" w:sz="8" w:space="0"/>
              <w:left w:val="single" w:color="000000" w:sz="8" w:space="0"/>
              <w:bottom w:val="single" w:color="000000" w:sz="4" w:space="0"/>
              <w:right w:val="single" w:color="000000" w:sz="4" w:space="0"/>
            </w:tcBorders>
            <w:vAlign w:val="center"/>
          </w:tcPr>
          <w:p w14:paraId="6EA684C4">
            <w:pPr>
              <w:widowControl/>
              <w:jc w:val="center"/>
              <w:textAlignment w:val="center"/>
              <w:rPr>
                <w:rFonts w:hint="eastAsia" w:ascii="宋体" w:hAnsi="宋体" w:eastAsia="宋体" w:cs="宋体"/>
                <w:b/>
                <w:bCs/>
                <w:sz w:val="20"/>
                <w:szCs w:val="20"/>
              </w:rPr>
            </w:pPr>
            <w:r>
              <w:rPr>
                <w:rFonts w:hint="eastAsia" w:ascii="宋体" w:hAnsi="宋体" w:eastAsia="宋体" w:cs="宋体"/>
                <w:b/>
                <w:bCs/>
                <w:kern w:val="0"/>
                <w:sz w:val="20"/>
                <w:szCs w:val="20"/>
              </w:rPr>
              <w:t>设计单位回复意见</w:t>
            </w:r>
          </w:p>
        </w:tc>
        <w:tc>
          <w:tcPr>
            <w:tcW w:w="2577" w:type="dxa"/>
            <w:gridSpan w:val="3"/>
            <w:tcBorders>
              <w:top w:val="single" w:color="000000" w:sz="8" w:space="0"/>
              <w:left w:val="nil"/>
              <w:bottom w:val="single" w:color="000000" w:sz="4" w:space="0"/>
              <w:right w:val="single" w:color="000000" w:sz="4" w:space="0"/>
            </w:tcBorders>
            <w:vAlign w:val="center"/>
          </w:tcPr>
          <w:p w14:paraId="05403B6F">
            <w:pPr>
              <w:widowControl/>
              <w:jc w:val="center"/>
              <w:textAlignment w:val="center"/>
              <w:rPr>
                <w:rFonts w:hint="eastAsia" w:ascii="宋体" w:hAnsi="宋体" w:eastAsia="宋体" w:cs="宋体"/>
                <w:b/>
                <w:bCs/>
                <w:sz w:val="20"/>
                <w:szCs w:val="20"/>
              </w:rPr>
            </w:pPr>
            <w:r>
              <w:rPr>
                <w:rFonts w:hint="eastAsia" w:ascii="宋体" w:hAnsi="宋体" w:eastAsia="宋体" w:cs="宋体"/>
                <w:b/>
                <w:bCs/>
                <w:kern w:val="0"/>
                <w:sz w:val="20"/>
                <w:szCs w:val="20"/>
              </w:rPr>
              <w:t>业主方处理意见</w:t>
            </w:r>
          </w:p>
        </w:tc>
      </w:tr>
      <w:tr w14:paraId="4A796025">
        <w:tblPrEx>
          <w:tblCellMar>
            <w:top w:w="0" w:type="dxa"/>
            <w:left w:w="108" w:type="dxa"/>
            <w:bottom w:w="0" w:type="dxa"/>
            <w:right w:w="108" w:type="dxa"/>
          </w:tblCellMar>
        </w:tblPrEx>
        <w:trPr>
          <w:trHeight w:val="495" w:hRule="atLeast"/>
        </w:trPr>
        <w:tc>
          <w:tcPr>
            <w:tcW w:w="417" w:type="dxa"/>
            <w:vMerge w:val="continue"/>
            <w:tcBorders>
              <w:top w:val="single" w:color="000000" w:sz="8" w:space="0"/>
              <w:left w:val="single" w:color="000000" w:sz="8" w:space="0"/>
              <w:bottom w:val="single" w:color="000000" w:sz="4" w:space="0"/>
              <w:right w:val="single" w:color="000000" w:sz="4" w:space="0"/>
            </w:tcBorders>
            <w:vAlign w:val="center"/>
          </w:tcPr>
          <w:p w14:paraId="5D805463">
            <w:pPr>
              <w:jc w:val="center"/>
              <w:rPr>
                <w:rFonts w:hint="eastAsia" w:ascii="宋体" w:hAnsi="宋体" w:eastAsia="宋体" w:cs="宋体"/>
                <w:b/>
                <w:bCs/>
                <w:sz w:val="20"/>
                <w:szCs w:val="20"/>
              </w:rPr>
            </w:pPr>
          </w:p>
        </w:tc>
        <w:tc>
          <w:tcPr>
            <w:tcW w:w="662" w:type="dxa"/>
            <w:vMerge w:val="continue"/>
            <w:tcBorders>
              <w:top w:val="single" w:color="000000" w:sz="8" w:space="0"/>
              <w:left w:val="single" w:color="000000" w:sz="4" w:space="0"/>
              <w:bottom w:val="single" w:color="000000" w:sz="4" w:space="0"/>
              <w:right w:val="single" w:color="000000" w:sz="4" w:space="0"/>
            </w:tcBorders>
            <w:vAlign w:val="center"/>
          </w:tcPr>
          <w:p w14:paraId="1F3245A4">
            <w:pPr>
              <w:jc w:val="center"/>
              <w:rPr>
                <w:rFonts w:hint="eastAsia" w:ascii="宋体" w:hAnsi="宋体" w:eastAsia="宋体" w:cs="宋体"/>
                <w:b/>
                <w:bCs/>
                <w:sz w:val="20"/>
                <w:szCs w:val="20"/>
              </w:rPr>
            </w:pPr>
          </w:p>
        </w:tc>
        <w:tc>
          <w:tcPr>
            <w:tcW w:w="1066" w:type="dxa"/>
            <w:vMerge w:val="continue"/>
            <w:tcBorders>
              <w:top w:val="single" w:color="000000" w:sz="8" w:space="0"/>
              <w:left w:val="single" w:color="000000" w:sz="4" w:space="0"/>
              <w:bottom w:val="single" w:color="000000" w:sz="4" w:space="0"/>
              <w:right w:val="single" w:color="000000" w:sz="4" w:space="0"/>
            </w:tcBorders>
            <w:vAlign w:val="center"/>
          </w:tcPr>
          <w:p w14:paraId="66A658BA">
            <w:pPr>
              <w:jc w:val="center"/>
              <w:rPr>
                <w:rFonts w:hint="eastAsia" w:ascii="宋体" w:hAnsi="宋体" w:eastAsia="宋体" w:cs="宋体"/>
                <w:b/>
                <w:bCs/>
                <w:sz w:val="20"/>
                <w:szCs w:val="20"/>
              </w:rPr>
            </w:pPr>
          </w:p>
        </w:tc>
        <w:tc>
          <w:tcPr>
            <w:tcW w:w="1080" w:type="dxa"/>
            <w:gridSpan w:val="2"/>
            <w:vMerge w:val="continue"/>
            <w:tcBorders>
              <w:top w:val="single" w:color="000000" w:sz="8" w:space="0"/>
              <w:left w:val="single" w:color="000000" w:sz="4" w:space="0"/>
              <w:bottom w:val="single" w:color="000000" w:sz="4" w:space="0"/>
              <w:right w:val="nil"/>
            </w:tcBorders>
            <w:vAlign w:val="center"/>
          </w:tcPr>
          <w:p w14:paraId="16A6C199">
            <w:pPr>
              <w:jc w:val="center"/>
              <w:rPr>
                <w:rFonts w:hint="eastAsia" w:ascii="宋体" w:hAnsi="宋体" w:eastAsia="宋体" w:cs="宋体"/>
                <w:b/>
                <w:bCs/>
                <w:sz w:val="20"/>
                <w:szCs w:val="20"/>
              </w:rPr>
            </w:pPr>
          </w:p>
        </w:tc>
        <w:tc>
          <w:tcPr>
            <w:tcW w:w="1795" w:type="dxa"/>
            <w:gridSpan w:val="2"/>
            <w:vMerge w:val="continue"/>
            <w:tcBorders>
              <w:top w:val="single" w:color="000000" w:sz="8" w:space="0"/>
              <w:left w:val="single" w:color="000000" w:sz="8" w:space="0"/>
              <w:bottom w:val="single" w:color="000000" w:sz="4" w:space="0"/>
              <w:right w:val="nil"/>
            </w:tcBorders>
            <w:vAlign w:val="center"/>
          </w:tcPr>
          <w:p w14:paraId="165DBEE3">
            <w:pPr>
              <w:jc w:val="center"/>
              <w:rPr>
                <w:rFonts w:hint="eastAsia" w:ascii="宋体" w:hAnsi="宋体" w:eastAsia="宋体" w:cs="宋体"/>
                <w:b/>
                <w:bCs/>
                <w:sz w:val="20"/>
                <w:szCs w:val="20"/>
              </w:rPr>
            </w:pPr>
          </w:p>
        </w:tc>
        <w:tc>
          <w:tcPr>
            <w:tcW w:w="700" w:type="dxa"/>
            <w:vMerge w:val="restart"/>
            <w:tcBorders>
              <w:top w:val="single" w:color="000000" w:sz="4" w:space="0"/>
              <w:left w:val="single" w:color="000000" w:sz="8" w:space="0"/>
              <w:bottom w:val="single" w:color="000000" w:sz="8" w:space="0"/>
              <w:right w:val="single" w:color="000000" w:sz="4" w:space="0"/>
            </w:tcBorders>
            <w:vAlign w:val="center"/>
          </w:tcPr>
          <w:p w14:paraId="2570B5B3">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rPr>
              <w:t>采</w:t>
            </w:r>
            <w:r>
              <w:rPr>
                <w:rFonts w:hint="eastAsia" w:ascii="宋体" w:hAnsi="宋体" w:eastAsia="宋体" w:cs="宋体"/>
                <w:b/>
                <w:bCs/>
                <w:kern w:val="0"/>
                <w:sz w:val="18"/>
                <w:szCs w:val="18"/>
              </w:rPr>
              <w:br w:type="textWrapping"/>
            </w:r>
            <w:r>
              <w:rPr>
                <w:rFonts w:hint="eastAsia" w:ascii="宋体" w:hAnsi="宋体" w:eastAsia="宋体" w:cs="宋体"/>
                <w:b/>
                <w:bCs/>
                <w:kern w:val="0"/>
                <w:sz w:val="18"/>
                <w:szCs w:val="18"/>
              </w:rPr>
              <w:t>纳</w:t>
            </w:r>
          </w:p>
        </w:tc>
        <w:tc>
          <w:tcPr>
            <w:tcW w:w="680" w:type="dxa"/>
            <w:vMerge w:val="restart"/>
            <w:tcBorders>
              <w:top w:val="single" w:color="000000" w:sz="4" w:space="0"/>
              <w:left w:val="single" w:color="000000" w:sz="4" w:space="0"/>
              <w:bottom w:val="single" w:color="000000" w:sz="8" w:space="0"/>
              <w:right w:val="single" w:color="000000" w:sz="4" w:space="0"/>
            </w:tcBorders>
            <w:vAlign w:val="center"/>
          </w:tcPr>
          <w:p w14:paraId="6FF76672">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rPr>
              <w:t>不</w:t>
            </w:r>
            <w:r>
              <w:rPr>
                <w:rFonts w:hint="eastAsia" w:ascii="宋体" w:hAnsi="宋体" w:eastAsia="宋体" w:cs="宋体"/>
                <w:b/>
                <w:bCs/>
                <w:kern w:val="0"/>
                <w:sz w:val="18"/>
                <w:szCs w:val="18"/>
              </w:rPr>
              <w:br w:type="textWrapping"/>
            </w:r>
            <w:r>
              <w:rPr>
                <w:rFonts w:hint="eastAsia" w:ascii="宋体" w:hAnsi="宋体" w:eastAsia="宋体" w:cs="宋体"/>
                <w:b/>
                <w:bCs/>
                <w:kern w:val="0"/>
                <w:sz w:val="18"/>
                <w:szCs w:val="18"/>
              </w:rPr>
              <w:t>采</w:t>
            </w:r>
            <w:r>
              <w:rPr>
                <w:rFonts w:hint="eastAsia" w:ascii="宋体" w:hAnsi="宋体" w:eastAsia="宋体" w:cs="宋体"/>
                <w:b/>
                <w:bCs/>
                <w:kern w:val="0"/>
                <w:sz w:val="18"/>
                <w:szCs w:val="18"/>
              </w:rPr>
              <w:br w:type="textWrapping"/>
            </w:r>
            <w:r>
              <w:rPr>
                <w:rFonts w:hint="eastAsia" w:ascii="宋体" w:hAnsi="宋体" w:eastAsia="宋体" w:cs="宋体"/>
                <w:b/>
                <w:bCs/>
                <w:kern w:val="0"/>
                <w:sz w:val="18"/>
                <w:szCs w:val="18"/>
              </w:rPr>
              <w:t>纳</w:t>
            </w:r>
          </w:p>
        </w:tc>
        <w:tc>
          <w:tcPr>
            <w:tcW w:w="1452" w:type="dxa"/>
            <w:vMerge w:val="restart"/>
            <w:tcBorders>
              <w:top w:val="single" w:color="000000" w:sz="4" w:space="0"/>
              <w:left w:val="single" w:color="000000" w:sz="4" w:space="0"/>
              <w:bottom w:val="single" w:color="000000" w:sz="8" w:space="0"/>
              <w:right w:val="single" w:color="000000" w:sz="8" w:space="0"/>
            </w:tcBorders>
            <w:vAlign w:val="center"/>
          </w:tcPr>
          <w:p w14:paraId="01221C21">
            <w:pPr>
              <w:widowControl/>
              <w:jc w:val="center"/>
              <w:textAlignment w:val="center"/>
              <w:rPr>
                <w:rFonts w:hint="eastAsia" w:ascii="宋体" w:hAnsi="宋体" w:eastAsia="宋体" w:cs="宋体"/>
                <w:b/>
                <w:bCs/>
                <w:sz w:val="20"/>
                <w:szCs w:val="20"/>
              </w:rPr>
            </w:pPr>
            <w:r>
              <w:rPr>
                <w:rFonts w:hint="eastAsia" w:ascii="宋体" w:hAnsi="宋体" w:eastAsia="宋体" w:cs="宋体"/>
                <w:b/>
                <w:bCs/>
                <w:kern w:val="0"/>
                <w:sz w:val="20"/>
                <w:szCs w:val="20"/>
              </w:rPr>
              <w:t xml:space="preserve">相关说明 </w:t>
            </w:r>
          </w:p>
        </w:tc>
        <w:tc>
          <w:tcPr>
            <w:tcW w:w="689" w:type="dxa"/>
            <w:vMerge w:val="restart"/>
            <w:tcBorders>
              <w:top w:val="single" w:color="000000" w:sz="4" w:space="0"/>
              <w:left w:val="nil"/>
              <w:bottom w:val="single" w:color="000000" w:sz="8" w:space="0"/>
              <w:right w:val="single" w:color="000000" w:sz="4" w:space="0"/>
            </w:tcBorders>
            <w:vAlign w:val="center"/>
          </w:tcPr>
          <w:p w14:paraId="149DC315">
            <w:pPr>
              <w:widowControl/>
              <w:jc w:val="center"/>
              <w:textAlignment w:val="center"/>
              <w:rPr>
                <w:rFonts w:hint="eastAsia" w:ascii="宋体" w:hAnsi="宋体" w:eastAsia="宋体" w:cs="宋体"/>
                <w:b/>
                <w:bCs/>
                <w:sz w:val="20"/>
                <w:szCs w:val="20"/>
              </w:rPr>
            </w:pPr>
            <w:r>
              <w:rPr>
                <w:rFonts w:hint="eastAsia" w:ascii="宋体" w:hAnsi="宋体" w:eastAsia="宋体" w:cs="宋体"/>
                <w:b/>
                <w:bCs/>
                <w:kern w:val="0"/>
                <w:sz w:val="20"/>
                <w:szCs w:val="20"/>
              </w:rPr>
              <w:t>采</w:t>
            </w:r>
            <w:r>
              <w:rPr>
                <w:rFonts w:hint="eastAsia" w:ascii="宋体" w:hAnsi="宋体" w:eastAsia="宋体" w:cs="宋体"/>
                <w:b/>
                <w:bCs/>
                <w:kern w:val="0"/>
                <w:sz w:val="20"/>
                <w:szCs w:val="20"/>
              </w:rPr>
              <w:br w:type="textWrapping"/>
            </w:r>
            <w:r>
              <w:rPr>
                <w:rFonts w:hint="eastAsia" w:ascii="宋体" w:hAnsi="宋体" w:eastAsia="宋体" w:cs="宋体"/>
                <w:b/>
                <w:bCs/>
                <w:kern w:val="0"/>
                <w:sz w:val="20"/>
                <w:szCs w:val="20"/>
              </w:rPr>
              <w:t>纳</w:t>
            </w:r>
          </w:p>
        </w:tc>
        <w:tc>
          <w:tcPr>
            <w:tcW w:w="689" w:type="dxa"/>
            <w:vMerge w:val="restart"/>
            <w:tcBorders>
              <w:top w:val="single" w:color="000000" w:sz="4" w:space="0"/>
              <w:left w:val="single" w:color="000000" w:sz="4" w:space="0"/>
              <w:bottom w:val="single" w:color="000000" w:sz="8" w:space="0"/>
              <w:right w:val="single" w:color="000000" w:sz="4" w:space="0"/>
            </w:tcBorders>
            <w:vAlign w:val="center"/>
          </w:tcPr>
          <w:p w14:paraId="0351ACBD">
            <w:pPr>
              <w:widowControl/>
              <w:jc w:val="center"/>
              <w:textAlignment w:val="center"/>
              <w:rPr>
                <w:rFonts w:hint="eastAsia" w:ascii="宋体" w:hAnsi="宋体" w:eastAsia="宋体" w:cs="宋体"/>
                <w:b/>
                <w:bCs/>
                <w:sz w:val="20"/>
                <w:szCs w:val="20"/>
              </w:rPr>
            </w:pPr>
            <w:r>
              <w:rPr>
                <w:rFonts w:hint="eastAsia" w:ascii="宋体" w:hAnsi="宋体" w:eastAsia="宋体" w:cs="宋体"/>
                <w:b/>
                <w:bCs/>
                <w:kern w:val="0"/>
                <w:sz w:val="20"/>
                <w:szCs w:val="20"/>
              </w:rPr>
              <w:t>不</w:t>
            </w:r>
            <w:r>
              <w:rPr>
                <w:rFonts w:hint="eastAsia" w:ascii="宋体" w:hAnsi="宋体" w:eastAsia="宋体" w:cs="宋体"/>
                <w:b/>
                <w:bCs/>
                <w:kern w:val="0"/>
                <w:sz w:val="20"/>
                <w:szCs w:val="20"/>
              </w:rPr>
              <w:br w:type="textWrapping"/>
            </w:r>
            <w:r>
              <w:rPr>
                <w:rFonts w:hint="eastAsia" w:ascii="宋体" w:hAnsi="宋体" w:eastAsia="宋体" w:cs="宋体"/>
                <w:b/>
                <w:bCs/>
                <w:kern w:val="0"/>
                <w:sz w:val="20"/>
                <w:szCs w:val="20"/>
              </w:rPr>
              <w:t>采</w:t>
            </w:r>
            <w:r>
              <w:rPr>
                <w:rFonts w:hint="eastAsia" w:ascii="宋体" w:hAnsi="宋体" w:eastAsia="宋体" w:cs="宋体"/>
                <w:b/>
                <w:bCs/>
                <w:kern w:val="0"/>
                <w:sz w:val="20"/>
                <w:szCs w:val="20"/>
              </w:rPr>
              <w:br w:type="textWrapping"/>
            </w:r>
            <w:r>
              <w:rPr>
                <w:rFonts w:hint="eastAsia" w:ascii="宋体" w:hAnsi="宋体" w:eastAsia="宋体" w:cs="宋体"/>
                <w:b/>
                <w:bCs/>
                <w:kern w:val="0"/>
                <w:sz w:val="20"/>
                <w:szCs w:val="20"/>
              </w:rPr>
              <w:t>纳</w:t>
            </w:r>
          </w:p>
        </w:tc>
        <w:tc>
          <w:tcPr>
            <w:tcW w:w="1199" w:type="dxa"/>
            <w:vMerge w:val="restart"/>
            <w:tcBorders>
              <w:top w:val="single" w:color="000000" w:sz="4" w:space="0"/>
              <w:left w:val="single" w:color="000000" w:sz="4" w:space="0"/>
              <w:bottom w:val="single" w:color="000000" w:sz="8" w:space="0"/>
              <w:right w:val="single" w:color="000000" w:sz="8" w:space="0"/>
            </w:tcBorders>
            <w:vAlign w:val="center"/>
          </w:tcPr>
          <w:p w14:paraId="6F5C7ECD">
            <w:pPr>
              <w:widowControl/>
              <w:jc w:val="center"/>
              <w:textAlignment w:val="center"/>
              <w:rPr>
                <w:rFonts w:hint="eastAsia" w:ascii="宋体" w:hAnsi="宋体" w:eastAsia="宋体" w:cs="宋体"/>
                <w:b/>
                <w:bCs/>
                <w:sz w:val="20"/>
                <w:szCs w:val="20"/>
              </w:rPr>
            </w:pPr>
            <w:r>
              <w:rPr>
                <w:rFonts w:hint="eastAsia" w:ascii="宋体" w:hAnsi="宋体" w:eastAsia="宋体" w:cs="宋体"/>
                <w:b/>
                <w:bCs/>
                <w:kern w:val="0"/>
                <w:sz w:val="20"/>
                <w:szCs w:val="20"/>
              </w:rPr>
              <w:t>说明</w:t>
            </w:r>
          </w:p>
        </w:tc>
      </w:tr>
      <w:tr w14:paraId="79452EB4">
        <w:tblPrEx>
          <w:tblCellMar>
            <w:top w:w="0" w:type="dxa"/>
            <w:left w:w="108" w:type="dxa"/>
            <w:bottom w:w="0" w:type="dxa"/>
            <w:right w:w="108" w:type="dxa"/>
          </w:tblCellMar>
        </w:tblPrEx>
        <w:trPr>
          <w:trHeight w:val="600" w:hRule="atLeast"/>
        </w:trPr>
        <w:tc>
          <w:tcPr>
            <w:tcW w:w="417" w:type="dxa"/>
            <w:vMerge w:val="continue"/>
            <w:tcBorders>
              <w:top w:val="single" w:color="000000" w:sz="8" w:space="0"/>
              <w:left w:val="single" w:color="000000" w:sz="8" w:space="0"/>
              <w:bottom w:val="single" w:color="000000" w:sz="4" w:space="0"/>
              <w:right w:val="single" w:color="000000" w:sz="4" w:space="0"/>
            </w:tcBorders>
            <w:vAlign w:val="center"/>
          </w:tcPr>
          <w:p w14:paraId="2D6A4056">
            <w:pPr>
              <w:jc w:val="center"/>
              <w:rPr>
                <w:rFonts w:hint="eastAsia" w:ascii="宋体" w:hAnsi="宋体" w:eastAsia="宋体" w:cs="宋体"/>
                <w:b/>
                <w:bCs/>
                <w:sz w:val="20"/>
                <w:szCs w:val="20"/>
              </w:rPr>
            </w:pPr>
          </w:p>
        </w:tc>
        <w:tc>
          <w:tcPr>
            <w:tcW w:w="662" w:type="dxa"/>
            <w:vMerge w:val="continue"/>
            <w:tcBorders>
              <w:top w:val="single" w:color="000000" w:sz="8" w:space="0"/>
              <w:left w:val="single" w:color="000000" w:sz="4" w:space="0"/>
              <w:bottom w:val="single" w:color="000000" w:sz="4" w:space="0"/>
              <w:right w:val="single" w:color="000000" w:sz="4" w:space="0"/>
            </w:tcBorders>
            <w:vAlign w:val="center"/>
          </w:tcPr>
          <w:p w14:paraId="6032F55D">
            <w:pPr>
              <w:jc w:val="center"/>
              <w:rPr>
                <w:rFonts w:hint="eastAsia" w:ascii="宋体" w:hAnsi="宋体" w:eastAsia="宋体" w:cs="宋体"/>
                <w:b/>
                <w:bCs/>
                <w:sz w:val="20"/>
                <w:szCs w:val="20"/>
              </w:rPr>
            </w:pPr>
          </w:p>
        </w:tc>
        <w:tc>
          <w:tcPr>
            <w:tcW w:w="1066" w:type="dxa"/>
            <w:vMerge w:val="continue"/>
            <w:tcBorders>
              <w:top w:val="single" w:color="000000" w:sz="8" w:space="0"/>
              <w:left w:val="single" w:color="000000" w:sz="4" w:space="0"/>
              <w:bottom w:val="single" w:color="000000" w:sz="4" w:space="0"/>
              <w:right w:val="single" w:color="000000" w:sz="4" w:space="0"/>
            </w:tcBorders>
            <w:vAlign w:val="center"/>
          </w:tcPr>
          <w:p w14:paraId="1DFBCDA0">
            <w:pPr>
              <w:jc w:val="center"/>
              <w:rPr>
                <w:rFonts w:hint="eastAsia" w:ascii="宋体" w:hAnsi="宋体" w:eastAsia="宋体" w:cs="宋体"/>
                <w:b/>
                <w:bCs/>
                <w:sz w:val="20"/>
                <w:szCs w:val="20"/>
              </w:rPr>
            </w:pPr>
          </w:p>
        </w:tc>
        <w:tc>
          <w:tcPr>
            <w:tcW w:w="1080" w:type="dxa"/>
            <w:gridSpan w:val="2"/>
            <w:vMerge w:val="continue"/>
            <w:tcBorders>
              <w:top w:val="single" w:color="000000" w:sz="8" w:space="0"/>
              <w:left w:val="single" w:color="000000" w:sz="4" w:space="0"/>
              <w:bottom w:val="single" w:color="000000" w:sz="4" w:space="0"/>
              <w:right w:val="nil"/>
            </w:tcBorders>
            <w:vAlign w:val="center"/>
          </w:tcPr>
          <w:p w14:paraId="600C289F">
            <w:pPr>
              <w:jc w:val="center"/>
              <w:rPr>
                <w:rFonts w:hint="eastAsia" w:ascii="宋体" w:hAnsi="宋体" w:eastAsia="宋体" w:cs="宋体"/>
                <w:b/>
                <w:bCs/>
                <w:sz w:val="20"/>
                <w:szCs w:val="20"/>
              </w:rPr>
            </w:pPr>
          </w:p>
        </w:tc>
        <w:tc>
          <w:tcPr>
            <w:tcW w:w="927" w:type="dxa"/>
            <w:tcBorders>
              <w:top w:val="single" w:color="000000" w:sz="4" w:space="0"/>
              <w:left w:val="single" w:color="000000" w:sz="8" w:space="0"/>
              <w:bottom w:val="single" w:color="000000" w:sz="8" w:space="0"/>
              <w:right w:val="single" w:color="000000" w:sz="4" w:space="0"/>
            </w:tcBorders>
            <w:vAlign w:val="center"/>
          </w:tcPr>
          <w:p w14:paraId="4D7F5020">
            <w:pPr>
              <w:widowControl/>
              <w:jc w:val="center"/>
              <w:textAlignment w:val="center"/>
              <w:rPr>
                <w:rFonts w:hint="eastAsia" w:ascii="宋体" w:hAnsi="宋体" w:eastAsia="宋体" w:cs="宋体"/>
                <w:b/>
                <w:bCs/>
                <w:sz w:val="20"/>
                <w:szCs w:val="20"/>
              </w:rPr>
            </w:pPr>
            <w:r>
              <w:rPr>
                <w:rFonts w:hint="eastAsia" w:ascii="宋体" w:hAnsi="宋体" w:eastAsia="宋体" w:cs="宋体"/>
                <w:b/>
                <w:bCs/>
                <w:kern w:val="0"/>
                <w:sz w:val="20"/>
                <w:szCs w:val="20"/>
              </w:rPr>
              <w:t>优化前</w:t>
            </w:r>
          </w:p>
        </w:tc>
        <w:tc>
          <w:tcPr>
            <w:tcW w:w="868" w:type="dxa"/>
            <w:tcBorders>
              <w:top w:val="single" w:color="000000" w:sz="4" w:space="0"/>
              <w:left w:val="single" w:color="000000" w:sz="4" w:space="0"/>
              <w:bottom w:val="single" w:color="000000" w:sz="8" w:space="0"/>
              <w:right w:val="nil"/>
            </w:tcBorders>
            <w:vAlign w:val="center"/>
          </w:tcPr>
          <w:p w14:paraId="2831B8D6">
            <w:pPr>
              <w:widowControl/>
              <w:jc w:val="center"/>
              <w:textAlignment w:val="center"/>
              <w:rPr>
                <w:rFonts w:hint="eastAsia" w:ascii="宋体" w:hAnsi="宋体" w:eastAsia="宋体" w:cs="宋体"/>
                <w:b/>
                <w:bCs/>
                <w:sz w:val="20"/>
                <w:szCs w:val="20"/>
              </w:rPr>
            </w:pPr>
            <w:r>
              <w:rPr>
                <w:rFonts w:hint="eastAsia" w:ascii="宋体" w:hAnsi="宋体" w:eastAsia="宋体" w:cs="宋体"/>
                <w:b/>
                <w:bCs/>
                <w:kern w:val="0"/>
                <w:sz w:val="20"/>
                <w:szCs w:val="20"/>
              </w:rPr>
              <w:t>优化后</w:t>
            </w:r>
          </w:p>
        </w:tc>
        <w:tc>
          <w:tcPr>
            <w:tcW w:w="700" w:type="dxa"/>
            <w:vMerge w:val="continue"/>
            <w:tcBorders>
              <w:top w:val="single" w:color="000000" w:sz="4" w:space="0"/>
              <w:left w:val="single" w:color="000000" w:sz="8" w:space="0"/>
              <w:bottom w:val="single" w:color="000000" w:sz="8" w:space="0"/>
              <w:right w:val="single" w:color="000000" w:sz="4" w:space="0"/>
            </w:tcBorders>
            <w:vAlign w:val="center"/>
          </w:tcPr>
          <w:p w14:paraId="168CC216">
            <w:pPr>
              <w:jc w:val="center"/>
              <w:rPr>
                <w:rFonts w:hint="eastAsia" w:ascii="宋体" w:hAnsi="宋体" w:eastAsia="宋体" w:cs="宋体"/>
                <w:b/>
                <w:bCs/>
                <w:sz w:val="18"/>
                <w:szCs w:val="18"/>
              </w:rPr>
            </w:pPr>
          </w:p>
        </w:tc>
        <w:tc>
          <w:tcPr>
            <w:tcW w:w="680" w:type="dxa"/>
            <w:vMerge w:val="continue"/>
            <w:tcBorders>
              <w:top w:val="single" w:color="000000" w:sz="4" w:space="0"/>
              <w:left w:val="single" w:color="000000" w:sz="4" w:space="0"/>
              <w:bottom w:val="single" w:color="000000" w:sz="8" w:space="0"/>
              <w:right w:val="single" w:color="000000" w:sz="4" w:space="0"/>
            </w:tcBorders>
            <w:vAlign w:val="center"/>
          </w:tcPr>
          <w:p w14:paraId="30FE7F63">
            <w:pPr>
              <w:jc w:val="center"/>
              <w:rPr>
                <w:rFonts w:hint="eastAsia" w:ascii="宋体" w:hAnsi="宋体" w:eastAsia="宋体" w:cs="宋体"/>
                <w:b/>
                <w:bCs/>
                <w:sz w:val="18"/>
                <w:szCs w:val="18"/>
              </w:rPr>
            </w:pPr>
          </w:p>
        </w:tc>
        <w:tc>
          <w:tcPr>
            <w:tcW w:w="1452" w:type="dxa"/>
            <w:vMerge w:val="continue"/>
            <w:tcBorders>
              <w:top w:val="single" w:color="000000" w:sz="4" w:space="0"/>
              <w:left w:val="single" w:color="000000" w:sz="4" w:space="0"/>
              <w:bottom w:val="single" w:color="000000" w:sz="8" w:space="0"/>
              <w:right w:val="single" w:color="000000" w:sz="8" w:space="0"/>
            </w:tcBorders>
            <w:vAlign w:val="center"/>
          </w:tcPr>
          <w:p w14:paraId="2E69D80D">
            <w:pPr>
              <w:jc w:val="center"/>
              <w:rPr>
                <w:rFonts w:hint="eastAsia" w:ascii="宋体" w:hAnsi="宋体" w:eastAsia="宋体" w:cs="宋体"/>
                <w:b/>
                <w:bCs/>
                <w:sz w:val="20"/>
                <w:szCs w:val="20"/>
              </w:rPr>
            </w:pPr>
          </w:p>
        </w:tc>
        <w:tc>
          <w:tcPr>
            <w:tcW w:w="689" w:type="dxa"/>
            <w:vMerge w:val="continue"/>
            <w:tcBorders>
              <w:top w:val="single" w:color="000000" w:sz="4" w:space="0"/>
              <w:left w:val="nil"/>
              <w:bottom w:val="single" w:color="000000" w:sz="8" w:space="0"/>
              <w:right w:val="single" w:color="000000" w:sz="4" w:space="0"/>
            </w:tcBorders>
            <w:vAlign w:val="center"/>
          </w:tcPr>
          <w:p w14:paraId="2D923175">
            <w:pPr>
              <w:jc w:val="center"/>
              <w:rPr>
                <w:rFonts w:hint="eastAsia" w:ascii="宋体" w:hAnsi="宋体" w:eastAsia="宋体" w:cs="宋体"/>
                <w:b/>
                <w:bCs/>
                <w:sz w:val="20"/>
                <w:szCs w:val="20"/>
              </w:rPr>
            </w:pPr>
          </w:p>
        </w:tc>
        <w:tc>
          <w:tcPr>
            <w:tcW w:w="689" w:type="dxa"/>
            <w:vMerge w:val="continue"/>
            <w:tcBorders>
              <w:top w:val="single" w:color="000000" w:sz="4" w:space="0"/>
              <w:left w:val="single" w:color="000000" w:sz="4" w:space="0"/>
              <w:bottom w:val="single" w:color="000000" w:sz="8" w:space="0"/>
              <w:right w:val="single" w:color="000000" w:sz="4" w:space="0"/>
            </w:tcBorders>
            <w:vAlign w:val="center"/>
          </w:tcPr>
          <w:p w14:paraId="5C801AF6">
            <w:pPr>
              <w:jc w:val="center"/>
              <w:rPr>
                <w:rFonts w:hint="eastAsia" w:ascii="宋体" w:hAnsi="宋体" w:eastAsia="宋体" w:cs="宋体"/>
                <w:b/>
                <w:bCs/>
                <w:sz w:val="20"/>
                <w:szCs w:val="20"/>
              </w:rPr>
            </w:pPr>
          </w:p>
        </w:tc>
        <w:tc>
          <w:tcPr>
            <w:tcW w:w="1199" w:type="dxa"/>
            <w:vMerge w:val="continue"/>
            <w:tcBorders>
              <w:top w:val="single" w:color="000000" w:sz="4" w:space="0"/>
              <w:left w:val="single" w:color="000000" w:sz="4" w:space="0"/>
              <w:bottom w:val="single" w:color="000000" w:sz="8" w:space="0"/>
              <w:right w:val="single" w:color="000000" w:sz="8" w:space="0"/>
            </w:tcBorders>
            <w:vAlign w:val="center"/>
          </w:tcPr>
          <w:p w14:paraId="399737D1">
            <w:pPr>
              <w:jc w:val="center"/>
              <w:rPr>
                <w:rFonts w:hint="eastAsia" w:ascii="宋体" w:hAnsi="宋体" w:eastAsia="宋体" w:cs="宋体"/>
                <w:b/>
                <w:bCs/>
                <w:sz w:val="20"/>
                <w:szCs w:val="20"/>
              </w:rPr>
            </w:pPr>
          </w:p>
        </w:tc>
      </w:tr>
      <w:tr w14:paraId="6637D2F1">
        <w:tblPrEx>
          <w:tblCellMar>
            <w:top w:w="0" w:type="dxa"/>
            <w:left w:w="108" w:type="dxa"/>
            <w:bottom w:w="0" w:type="dxa"/>
            <w:right w:w="108" w:type="dxa"/>
          </w:tblCellMar>
        </w:tblPrEx>
        <w:trPr>
          <w:trHeight w:val="702" w:hRule="atLeast"/>
        </w:trPr>
        <w:tc>
          <w:tcPr>
            <w:tcW w:w="3225" w:type="dxa"/>
            <w:gridSpan w:val="5"/>
            <w:tcBorders>
              <w:top w:val="single" w:color="000000" w:sz="4" w:space="0"/>
              <w:left w:val="single" w:color="000000" w:sz="8" w:space="0"/>
              <w:bottom w:val="single" w:color="000000" w:sz="4" w:space="0"/>
              <w:right w:val="single" w:color="000000" w:sz="4" w:space="0"/>
            </w:tcBorders>
            <w:vAlign w:val="center"/>
          </w:tcPr>
          <w:p w14:paraId="6E1DB12A">
            <w:pPr>
              <w:widowControl/>
              <w:jc w:val="left"/>
              <w:textAlignment w:val="center"/>
              <w:rPr>
                <w:rFonts w:hint="eastAsia" w:ascii="宋体" w:hAnsi="宋体" w:eastAsia="宋体" w:cs="宋体"/>
                <w:b/>
                <w:bCs/>
                <w:sz w:val="20"/>
                <w:szCs w:val="20"/>
              </w:rPr>
            </w:pPr>
            <w:r>
              <w:rPr>
                <w:rFonts w:hint="eastAsia" w:ascii="宋体" w:hAnsi="宋体" w:eastAsia="宋体" w:cs="宋体"/>
                <w:b/>
                <w:bCs/>
                <w:kern w:val="0"/>
                <w:sz w:val="20"/>
                <w:szCs w:val="20"/>
              </w:rPr>
              <w:t>一、咨询版次：2023年  月  日版方案/初步/施工图设计文件</w:t>
            </w:r>
          </w:p>
        </w:tc>
        <w:tc>
          <w:tcPr>
            <w:tcW w:w="927" w:type="dxa"/>
            <w:tcBorders>
              <w:top w:val="single" w:color="000000" w:sz="4" w:space="0"/>
              <w:left w:val="single" w:color="000000" w:sz="8" w:space="0"/>
              <w:bottom w:val="single" w:color="000000" w:sz="4" w:space="0"/>
              <w:right w:val="single" w:color="000000" w:sz="4" w:space="0"/>
            </w:tcBorders>
            <w:vAlign w:val="center"/>
          </w:tcPr>
          <w:p w14:paraId="0422892E">
            <w:pPr>
              <w:jc w:val="center"/>
              <w:rPr>
                <w:rFonts w:hint="eastAsia" w:ascii="宋体" w:hAnsi="宋体" w:eastAsia="宋体" w:cs="宋体"/>
                <w:b/>
                <w:bCs/>
                <w:sz w:val="20"/>
                <w:szCs w:val="20"/>
              </w:rPr>
            </w:pPr>
          </w:p>
        </w:tc>
        <w:tc>
          <w:tcPr>
            <w:tcW w:w="868" w:type="dxa"/>
            <w:tcBorders>
              <w:top w:val="single" w:color="000000" w:sz="4" w:space="0"/>
              <w:left w:val="single" w:color="000000" w:sz="4" w:space="0"/>
              <w:bottom w:val="single" w:color="000000" w:sz="4" w:space="0"/>
              <w:right w:val="nil"/>
            </w:tcBorders>
            <w:vAlign w:val="center"/>
          </w:tcPr>
          <w:p w14:paraId="3BF552FF">
            <w:pPr>
              <w:jc w:val="center"/>
              <w:rPr>
                <w:rFonts w:hint="eastAsia" w:ascii="宋体" w:hAnsi="宋体" w:eastAsia="宋体" w:cs="宋体"/>
                <w:b/>
                <w:bCs/>
                <w:sz w:val="20"/>
                <w:szCs w:val="20"/>
              </w:rPr>
            </w:pPr>
          </w:p>
        </w:tc>
        <w:tc>
          <w:tcPr>
            <w:tcW w:w="700" w:type="dxa"/>
            <w:tcBorders>
              <w:top w:val="nil"/>
              <w:left w:val="single" w:color="000000" w:sz="8" w:space="0"/>
              <w:bottom w:val="single" w:color="000000" w:sz="4" w:space="0"/>
              <w:right w:val="single" w:color="000000" w:sz="4" w:space="0"/>
            </w:tcBorders>
            <w:vAlign w:val="center"/>
          </w:tcPr>
          <w:p w14:paraId="4D7DDDB2">
            <w:pPr>
              <w:jc w:val="center"/>
              <w:rPr>
                <w:rFonts w:hint="eastAsia" w:ascii="宋体" w:hAnsi="宋体" w:eastAsia="宋体" w:cs="宋体"/>
                <w:sz w:val="18"/>
                <w:szCs w:val="18"/>
              </w:rPr>
            </w:pPr>
          </w:p>
        </w:tc>
        <w:tc>
          <w:tcPr>
            <w:tcW w:w="680" w:type="dxa"/>
            <w:tcBorders>
              <w:top w:val="nil"/>
              <w:left w:val="single" w:color="000000" w:sz="4" w:space="0"/>
              <w:bottom w:val="single" w:color="000000" w:sz="4" w:space="0"/>
              <w:right w:val="single" w:color="000000" w:sz="4" w:space="0"/>
            </w:tcBorders>
            <w:vAlign w:val="center"/>
          </w:tcPr>
          <w:p w14:paraId="70AEE66E">
            <w:pPr>
              <w:jc w:val="center"/>
              <w:rPr>
                <w:rFonts w:hint="eastAsia" w:ascii="宋体" w:hAnsi="宋体" w:eastAsia="宋体" w:cs="宋体"/>
                <w:b/>
                <w:bCs/>
                <w:sz w:val="20"/>
                <w:szCs w:val="20"/>
              </w:rPr>
            </w:pPr>
          </w:p>
        </w:tc>
        <w:tc>
          <w:tcPr>
            <w:tcW w:w="1452" w:type="dxa"/>
            <w:tcBorders>
              <w:top w:val="nil"/>
              <w:left w:val="single" w:color="000000" w:sz="4" w:space="0"/>
              <w:bottom w:val="single" w:color="000000" w:sz="4" w:space="0"/>
              <w:right w:val="single" w:color="000000" w:sz="8" w:space="0"/>
            </w:tcBorders>
            <w:vAlign w:val="center"/>
          </w:tcPr>
          <w:p w14:paraId="00CAF1F7">
            <w:pPr>
              <w:jc w:val="left"/>
              <w:rPr>
                <w:rFonts w:hint="eastAsia" w:ascii="宋体" w:hAnsi="宋体" w:eastAsia="宋体" w:cs="宋体"/>
                <w:sz w:val="20"/>
                <w:szCs w:val="20"/>
              </w:rPr>
            </w:pPr>
          </w:p>
        </w:tc>
        <w:tc>
          <w:tcPr>
            <w:tcW w:w="689" w:type="dxa"/>
            <w:tcBorders>
              <w:top w:val="single" w:color="000000" w:sz="4" w:space="0"/>
              <w:left w:val="nil"/>
              <w:bottom w:val="single" w:color="000000" w:sz="4" w:space="0"/>
              <w:right w:val="single" w:color="000000" w:sz="4" w:space="0"/>
            </w:tcBorders>
            <w:vAlign w:val="center"/>
          </w:tcPr>
          <w:p w14:paraId="04B148B5">
            <w:pPr>
              <w:jc w:val="center"/>
              <w:rPr>
                <w:rFonts w:hint="eastAsia" w:ascii="宋体" w:hAnsi="宋体" w:eastAsia="宋体" w:cs="宋体"/>
                <w:sz w:val="20"/>
                <w:szCs w:val="20"/>
              </w:rPr>
            </w:pPr>
          </w:p>
        </w:tc>
        <w:tc>
          <w:tcPr>
            <w:tcW w:w="689" w:type="dxa"/>
            <w:tcBorders>
              <w:top w:val="single" w:color="000000" w:sz="4" w:space="0"/>
              <w:left w:val="single" w:color="000000" w:sz="4" w:space="0"/>
              <w:bottom w:val="single" w:color="000000" w:sz="4" w:space="0"/>
              <w:right w:val="single" w:color="000000" w:sz="4" w:space="0"/>
            </w:tcBorders>
            <w:noWrap/>
            <w:vAlign w:val="center"/>
          </w:tcPr>
          <w:p w14:paraId="203EEF2B">
            <w:pPr>
              <w:jc w:val="center"/>
              <w:rPr>
                <w:rFonts w:hint="eastAsia" w:ascii="宋体" w:hAnsi="宋体" w:eastAsia="宋体" w:cs="宋体"/>
                <w:sz w:val="20"/>
                <w:szCs w:val="20"/>
              </w:rPr>
            </w:pPr>
          </w:p>
        </w:tc>
        <w:tc>
          <w:tcPr>
            <w:tcW w:w="1199" w:type="dxa"/>
            <w:tcBorders>
              <w:top w:val="single" w:color="000000" w:sz="4" w:space="0"/>
              <w:left w:val="single" w:color="000000" w:sz="4" w:space="0"/>
              <w:bottom w:val="single" w:color="000000" w:sz="4" w:space="0"/>
              <w:right w:val="single" w:color="000000" w:sz="8" w:space="0"/>
            </w:tcBorders>
            <w:noWrap/>
            <w:vAlign w:val="center"/>
          </w:tcPr>
          <w:p w14:paraId="296A186D">
            <w:pPr>
              <w:jc w:val="center"/>
              <w:rPr>
                <w:rFonts w:hint="eastAsia" w:ascii="宋体" w:hAnsi="宋体" w:eastAsia="宋体" w:cs="宋体"/>
                <w:sz w:val="20"/>
                <w:szCs w:val="20"/>
              </w:rPr>
            </w:pPr>
          </w:p>
        </w:tc>
      </w:tr>
      <w:tr w14:paraId="7F93637D">
        <w:tblPrEx>
          <w:tblCellMar>
            <w:top w:w="0" w:type="dxa"/>
            <w:left w:w="108" w:type="dxa"/>
            <w:bottom w:w="0" w:type="dxa"/>
            <w:right w:w="108" w:type="dxa"/>
          </w:tblCellMar>
        </w:tblPrEx>
        <w:trPr>
          <w:trHeight w:val="702" w:hRule="atLeast"/>
        </w:trPr>
        <w:tc>
          <w:tcPr>
            <w:tcW w:w="3225" w:type="dxa"/>
            <w:gridSpan w:val="5"/>
            <w:tcBorders>
              <w:top w:val="single" w:color="000000" w:sz="4" w:space="0"/>
              <w:left w:val="single" w:color="000000" w:sz="8" w:space="0"/>
              <w:bottom w:val="single" w:color="000000" w:sz="4" w:space="0"/>
              <w:right w:val="nil"/>
            </w:tcBorders>
            <w:vAlign w:val="center"/>
          </w:tcPr>
          <w:p w14:paraId="06A458BC">
            <w:pPr>
              <w:widowControl/>
              <w:jc w:val="center"/>
              <w:textAlignment w:val="center"/>
              <w:rPr>
                <w:rFonts w:hint="eastAsia" w:ascii="宋体" w:hAnsi="宋体" w:eastAsia="宋体" w:cs="宋体"/>
                <w:b/>
                <w:bCs/>
                <w:sz w:val="20"/>
                <w:szCs w:val="20"/>
              </w:rPr>
            </w:pPr>
            <w:r>
              <w:rPr>
                <w:rFonts w:hint="eastAsia" w:ascii="宋体" w:hAnsi="宋体" w:eastAsia="宋体" w:cs="宋体"/>
                <w:b/>
                <w:bCs/>
                <w:kern w:val="0"/>
                <w:sz w:val="20"/>
                <w:szCs w:val="20"/>
              </w:rPr>
              <w:t>优化问题</w:t>
            </w:r>
          </w:p>
        </w:tc>
        <w:tc>
          <w:tcPr>
            <w:tcW w:w="927" w:type="dxa"/>
            <w:tcBorders>
              <w:top w:val="single" w:color="000000" w:sz="4" w:space="0"/>
              <w:left w:val="single" w:color="000000" w:sz="8" w:space="0"/>
              <w:bottom w:val="single" w:color="000000" w:sz="4" w:space="0"/>
              <w:right w:val="single" w:color="000000" w:sz="4" w:space="0"/>
            </w:tcBorders>
            <w:vAlign w:val="center"/>
          </w:tcPr>
          <w:p w14:paraId="69ECD2C0">
            <w:pPr>
              <w:jc w:val="center"/>
              <w:rPr>
                <w:rFonts w:hint="eastAsia" w:ascii="宋体" w:hAnsi="宋体" w:eastAsia="宋体" w:cs="宋体"/>
                <w:b/>
                <w:bCs/>
                <w:sz w:val="20"/>
                <w:szCs w:val="20"/>
              </w:rPr>
            </w:pPr>
          </w:p>
        </w:tc>
        <w:tc>
          <w:tcPr>
            <w:tcW w:w="868" w:type="dxa"/>
            <w:tcBorders>
              <w:top w:val="single" w:color="000000" w:sz="4" w:space="0"/>
              <w:left w:val="single" w:color="000000" w:sz="4" w:space="0"/>
              <w:bottom w:val="single" w:color="000000" w:sz="4" w:space="0"/>
              <w:right w:val="nil"/>
            </w:tcBorders>
            <w:vAlign w:val="center"/>
          </w:tcPr>
          <w:p w14:paraId="3D5E0144">
            <w:pPr>
              <w:jc w:val="center"/>
              <w:rPr>
                <w:rFonts w:hint="eastAsia" w:ascii="宋体" w:hAnsi="宋体" w:eastAsia="宋体" w:cs="宋体"/>
                <w:b/>
                <w:bCs/>
                <w:sz w:val="20"/>
                <w:szCs w:val="20"/>
              </w:rPr>
            </w:pPr>
          </w:p>
        </w:tc>
        <w:tc>
          <w:tcPr>
            <w:tcW w:w="700" w:type="dxa"/>
            <w:tcBorders>
              <w:top w:val="single" w:color="000000" w:sz="4" w:space="0"/>
              <w:left w:val="single" w:color="000000" w:sz="8" w:space="0"/>
              <w:bottom w:val="single" w:color="000000" w:sz="4" w:space="0"/>
              <w:right w:val="single" w:color="000000" w:sz="4" w:space="0"/>
            </w:tcBorders>
            <w:vAlign w:val="center"/>
          </w:tcPr>
          <w:p w14:paraId="5A636EA9">
            <w:pPr>
              <w:jc w:val="center"/>
              <w:rPr>
                <w:rFonts w:hint="eastAsia" w:ascii="宋体" w:hAnsi="宋体" w:eastAsia="宋体" w:cs="宋体"/>
                <w:sz w:val="18"/>
                <w:szCs w:val="18"/>
              </w:rPr>
            </w:pPr>
          </w:p>
        </w:tc>
        <w:tc>
          <w:tcPr>
            <w:tcW w:w="680" w:type="dxa"/>
            <w:tcBorders>
              <w:top w:val="single" w:color="000000" w:sz="4" w:space="0"/>
              <w:left w:val="single" w:color="000000" w:sz="4" w:space="0"/>
              <w:bottom w:val="single" w:color="000000" w:sz="4" w:space="0"/>
              <w:right w:val="single" w:color="000000" w:sz="4" w:space="0"/>
            </w:tcBorders>
            <w:vAlign w:val="center"/>
          </w:tcPr>
          <w:p w14:paraId="339924E2">
            <w:pPr>
              <w:jc w:val="center"/>
              <w:rPr>
                <w:rFonts w:hint="eastAsia" w:ascii="宋体" w:hAnsi="宋体" w:eastAsia="宋体" w:cs="宋体"/>
                <w:b/>
                <w:bCs/>
                <w:sz w:val="20"/>
                <w:szCs w:val="20"/>
              </w:rPr>
            </w:pPr>
          </w:p>
        </w:tc>
        <w:tc>
          <w:tcPr>
            <w:tcW w:w="1452" w:type="dxa"/>
            <w:tcBorders>
              <w:top w:val="single" w:color="000000" w:sz="4" w:space="0"/>
              <w:left w:val="single" w:color="000000" w:sz="4" w:space="0"/>
              <w:bottom w:val="single" w:color="000000" w:sz="4" w:space="0"/>
              <w:right w:val="single" w:color="000000" w:sz="8" w:space="0"/>
            </w:tcBorders>
            <w:vAlign w:val="center"/>
          </w:tcPr>
          <w:p w14:paraId="1528C3A0">
            <w:pPr>
              <w:jc w:val="left"/>
              <w:rPr>
                <w:rFonts w:hint="eastAsia" w:ascii="宋体" w:hAnsi="宋体" w:eastAsia="宋体" w:cs="宋体"/>
                <w:sz w:val="20"/>
                <w:szCs w:val="20"/>
              </w:rPr>
            </w:pPr>
          </w:p>
        </w:tc>
        <w:tc>
          <w:tcPr>
            <w:tcW w:w="689" w:type="dxa"/>
            <w:tcBorders>
              <w:top w:val="single" w:color="000000" w:sz="4" w:space="0"/>
              <w:left w:val="nil"/>
              <w:bottom w:val="single" w:color="000000" w:sz="4" w:space="0"/>
              <w:right w:val="single" w:color="000000" w:sz="4" w:space="0"/>
            </w:tcBorders>
            <w:vAlign w:val="center"/>
          </w:tcPr>
          <w:p w14:paraId="57E59C94">
            <w:pPr>
              <w:jc w:val="center"/>
              <w:rPr>
                <w:rFonts w:hint="eastAsia" w:ascii="宋体" w:hAnsi="宋体" w:eastAsia="宋体" w:cs="宋体"/>
                <w:sz w:val="20"/>
                <w:szCs w:val="20"/>
              </w:rPr>
            </w:pPr>
          </w:p>
        </w:tc>
        <w:tc>
          <w:tcPr>
            <w:tcW w:w="689" w:type="dxa"/>
            <w:tcBorders>
              <w:top w:val="single" w:color="000000" w:sz="4" w:space="0"/>
              <w:left w:val="single" w:color="000000" w:sz="4" w:space="0"/>
              <w:bottom w:val="single" w:color="000000" w:sz="4" w:space="0"/>
              <w:right w:val="single" w:color="000000" w:sz="4" w:space="0"/>
            </w:tcBorders>
            <w:noWrap/>
            <w:vAlign w:val="center"/>
          </w:tcPr>
          <w:p w14:paraId="1EB4B03C">
            <w:pPr>
              <w:jc w:val="center"/>
              <w:rPr>
                <w:rFonts w:hint="eastAsia" w:ascii="宋体" w:hAnsi="宋体" w:eastAsia="宋体" w:cs="宋体"/>
                <w:sz w:val="20"/>
                <w:szCs w:val="20"/>
              </w:rPr>
            </w:pPr>
          </w:p>
        </w:tc>
        <w:tc>
          <w:tcPr>
            <w:tcW w:w="1199" w:type="dxa"/>
            <w:tcBorders>
              <w:top w:val="single" w:color="000000" w:sz="4" w:space="0"/>
              <w:left w:val="single" w:color="000000" w:sz="4" w:space="0"/>
              <w:bottom w:val="single" w:color="000000" w:sz="4" w:space="0"/>
              <w:right w:val="single" w:color="000000" w:sz="8" w:space="0"/>
            </w:tcBorders>
            <w:noWrap/>
            <w:vAlign w:val="center"/>
          </w:tcPr>
          <w:p w14:paraId="14D9B8CE">
            <w:pPr>
              <w:jc w:val="center"/>
              <w:rPr>
                <w:rFonts w:hint="eastAsia" w:ascii="宋体" w:hAnsi="宋体" w:eastAsia="宋体" w:cs="宋体"/>
                <w:sz w:val="20"/>
                <w:szCs w:val="20"/>
              </w:rPr>
            </w:pPr>
          </w:p>
        </w:tc>
      </w:tr>
      <w:tr w14:paraId="175189BB">
        <w:tblPrEx>
          <w:tblCellMar>
            <w:top w:w="0" w:type="dxa"/>
            <w:left w:w="108" w:type="dxa"/>
            <w:bottom w:w="0" w:type="dxa"/>
            <w:right w:w="108" w:type="dxa"/>
          </w:tblCellMar>
        </w:tblPrEx>
        <w:trPr>
          <w:trHeight w:val="702" w:hRule="atLeast"/>
        </w:trPr>
        <w:tc>
          <w:tcPr>
            <w:tcW w:w="417" w:type="dxa"/>
            <w:tcBorders>
              <w:top w:val="single" w:color="000000" w:sz="4" w:space="0"/>
              <w:left w:val="single" w:color="000000" w:sz="8" w:space="0"/>
              <w:bottom w:val="single" w:color="000000" w:sz="4" w:space="0"/>
              <w:right w:val="single" w:color="000000" w:sz="4" w:space="0"/>
            </w:tcBorders>
            <w:vAlign w:val="center"/>
          </w:tcPr>
          <w:p w14:paraId="545CBC81">
            <w:pPr>
              <w:widowControl/>
              <w:jc w:val="center"/>
              <w:textAlignment w:val="center"/>
              <w:rPr>
                <w:rFonts w:hint="eastAsia" w:ascii="宋体" w:hAnsi="宋体" w:eastAsia="宋体" w:cs="宋体"/>
                <w:sz w:val="20"/>
                <w:szCs w:val="20"/>
              </w:rPr>
            </w:pPr>
            <w:r>
              <w:rPr>
                <w:rFonts w:hint="eastAsia" w:ascii="宋体" w:hAnsi="宋体" w:eastAsia="宋体" w:cs="宋体"/>
                <w:kern w:val="0"/>
                <w:sz w:val="20"/>
                <w:szCs w:val="20"/>
              </w:rPr>
              <w:t>1</w:t>
            </w:r>
          </w:p>
        </w:tc>
        <w:tc>
          <w:tcPr>
            <w:tcW w:w="662" w:type="dxa"/>
            <w:tcBorders>
              <w:top w:val="single" w:color="000000" w:sz="4" w:space="0"/>
              <w:left w:val="single" w:color="000000" w:sz="4" w:space="0"/>
              <w:bottom w:val="single" w:color="000000" w:sz="4" w:space="0"/>
              <w:right w:val="single" w:color="000000" w:sz="4" w:space="0"/>
            </w:tcBorders>
            <w:noWrap/>
            <w:vAlign w:val="center"/>
          </w:tcPr>
          <w:p w14:paraId="04B871B7">
            <w:pPr>
              <w:rPr>
                <w:rFonts w:hint="eastAsia" w:ascii="宋体" w:hAnsi="宋体" w:eastAsia="宋体" w:cs="宋体"/>
                <w:sz w:val="22"/>
              </w:rPr>
            </w:pPr>
          </w:p>
        </w:tc>
        <w:tc>
          <w:tcPr>
            <w:tcW w:w="1066" w:type="dxa"/>
            <w:tcBorders>
              <w:top w:val="single" w:color="000000" w:sz="4" w:space="0"/>
              <w:left w:val="single" w:color="000000" w:sz="4" w:space="0"/>
              <w:bottom w:val="single" w:color="000000" w:sz="4" w:space="0"/>
              <w:right w:val="single" w:color="000000" w:sz="4" w:space="0"/>
            </w:tcBorders>
            <w:vAlign w:val="center"/>
          </w:tcPr>
          <w:p w14:paraId="32EF2C95">
            <w:pPr>
              <w:jc w:val="left"/>
              <w:rPr>
                <w:rFonts w:hint="eastAsia" w:ascii="宋体" w:hAnsi="宋体" w:eastAsia="宋体" w:cs="宋体"/>
                <w:b/>
                <w:bCs/>
                <w:sz w:val="20"/>
                <w:szCs w:val="20"/>
              </w:rPr>
            </w:pPr>
          </w:p>
        </w:tc>
        <w:tc>
          <w:tcPr>
            <w:tcW w:w="1080" w:type="dxa"/>
            <w:gridSpan w:val="2"/>
            <w:tcBorders>
              <w:top w:val="single" w:color="000000" w:sz="4" w:space="0"/>
              <w:left w:val="single" w:color="000000" w:sz="4" w:space="0"/>
              <w:bottom w:val="single" w:color="000000" w:sz="4" w:space="0"/>
              <w:right w:val="nil"/>
            </w:tcBorders>
            <w:vAlign w:val="center"/>
          </w:tcPr>
          <w:p w14:paraId="1C8E2553">
            <w:pPr>
              <w:jc w:val="left"/>
              <w:rPr>
                <w:rFonts w:hint="eastAsia" w:ascii="宋体" w:hAnsi="宋体" w:eastAsia="宋体" w:cs="宋体"/>
                <w:b/>
                <w:bCs/>
                <w:sz w:val="20"/>
                <w:szCs w:val="20"/>
              </w:rPr>
            </w:pPr>
          </w:p>
        </w:tc>
        <w:tc>
          <w:tcPr>
            <w:tcW w:w="927" w:type="dxa"/>
            <w:tcBorders>
              <w:top w:val="single" w:color="000000" w:sz="4" w:space="0"/>
              <w:left w:val="single" w:color="000000" w:sz="8" w:space="0"/>
              <w:bottom w:val="single" w:color="000000" w:sz="4" w:space="0"/>
              <w:right w:val="single" w:color="000000" w:sz="4" w:space="0"/>
            </w:tcBorders>
            <w:vAlign w:val="center"/>
          </w:tcPr>
          <w:p w14:paraId="143AA8C9">
            <w:pPr>
              <w:jc w:val="center"/>
              <w:rPr>
                <w:rFonts w:hint="eastAsia" w:ascii="宋体" w:hAnsi="宋体" w:eastAsia="宋体" w:cs="宋体"/>
                <w:b/>
                <w:bCs/>
                <w:sz w:val="20"/>
                <w:szCs w:val="20"/>
              </w:rPr>
            </w:pPr>
          </w:p>
        </w:tc>
        <w:tc>
          <w:tcPr>
            <w:tcW w:w="868" w:type="dxa"/>
            <w:tcBorders>
              <w:top w:val="single" w:color="000000" w:sz="4" w:space="0"/>
              <w:left w:val="single" w:color="000000" w:sz="4" w:space="0"/>
              <w:bottom w:val="single" w:color="000000" w:sz="4" w:space="0"/>
              <w:right w:val="nil"/>
            </w:tcBorders>
            <w:vAlign w:val="center"/>
          </w:tcPr>
          <w:p w14:paraId="2969F360">
            <w:pPr>
              <w:jc w:val="center"/>
              <w:rPr>
                <w:rFonts w:hint="eastAsia" w:ascii="宋体" w:hAnsi="宋体" w:eastAsia="宋体" w:cs="宋体"/>
                <w:b/>
                <w:bCs/>
                <w:sz w:val="20"/>
                <w:szCs w:val="20"/>
              </w:rPr>
            </w:pPr>
          </w:p>
        </w:tc>
        <w:tc>
          <w:tcPr>
            <w:tcW w:w="700" w:type="dxa"/>
            <w:tcBorders>
              <w:top w:val="single" w:color="000000" w:sz="4" w:space="0"/>
              <w:left w:val="single" w:color="000000" w:sz="8" w:space="0"/>
              <w:bottom w:val="single" w:color="000000" w:sz="4" w:space="0"/>
              <w:right w:val="single" w:color="000000" w:sz="4" w:space="0"/>
            </w:tcBorders>
            <w:vAlign w:val="center"/>
          </w:tcPr>
          <w:p w14:paraId="60AA60DF">
            <w:pPr>
              <w:widowControl/>
              <w:jc w:val="center"/>
              <w:textAlignment w:val="center"/>
              <w:rPr>
                <w:rFonts w:hint="eastAsia" w:ascii="宋体" w:hAnsi="宋体" w:eastAsia="宋体" w:cs="宋体"/>
                <w:b/>
                <w:bCs/>
                <w:sz w:val="20"/>
                <w:szCs w:val="20"/>
              </w:rPr>
            </w:pPr>
            <w:r>
              <w:rPr>
                <w:rFonts w:hint="eastAsia" w:ascii="宋体" w:hAnsi="宋体" w:eastAsia="宋体" w:cs="宋体"/>
                <w:b/>
                <w:bCs/>
                <w:kern w:val="0"/>
                <w:sz w:val="20"/>
                <w:szCs w:val="20"/>
              </w:rPr>
              <w:t>√</w:t>
            </w:r>
          </w:p>
        </w:tc>
        <w:tc>
          <w:tcPr>
            <w:tcW w:w="680" w:type="dxa"/>
            <w:tcBorders>
              <w:top w:val="single" w:color="000000" w:sz="4" w:space="0"/>
              <w:left w:val="single" w:color="000000" w:sz="4" w:space="0"/>
              <w:bottom w:val="single" w:color="000000" w:sz="4" w:space="0"/>
              <w:right w:val="single" w:color="000000" w:sz="4" w:space="0"/>
            </w:tcBorders>
            <w:noWrap/>
            <w:vAlign w:val="center"/>
          </w:tcPr>
          <w:p w14:paraId="0353314B">
            <w:pPr>
              <w:rPr>
                <w:rFonts w:hint="eastAsia" w:ascii="宋体" w:hAnsi="宋体" w:eastAsia="宋体" w:cs="宋体"/>
                <w:b/>
                <w:bCs/>
                <w:sz w:val="22"/>
              </w:rPr>
            </w:pPr>
          </w:p>
        </w:tc>
        <w:tc>
          <w:tcPr>
            <w:tcW w:w="1452" w:type="dxa"/>
            <w:tcBorders>
              <w:top w:val="single" w:color="000000" w:sz="4" w:space="0"/>
              <w:left w:val="single" w:color="000000" w:sz="4" w:space="0"/>
              <w:bottom w:val="single" w:color="000000" w:sz="4" w:space="0"/>
              <w:right w:val="single" w:color="000000" w:sz="8" w:space="0"/>
            </w:tcBorders>
            <w:vAlign w:val="center"/>
          </w:tcPr>
          <w:p w14:paraId="2996BB67">
            <w:pPr>
              <w:jc w:val="left"/>
              <w:rPr>
                <w:rFonts w:hint="eastAsia" w:ascii="宋体" w:hAnsi="宋体" w:eastAsia="宋体" w:cs="宋体"/>
                <w:sz w:val="20"/>
                <w:szCs w:val="20"/>
              </w:rPr>
            </w:pPr>
          </w:p>
        </w:tc>
        <w:tc>
          <w:tcPr>
            <w:tcW w:w="689" w:type="dxa"/>
            <w:tcBorders>
              <w:top w:val="single" w:color="000000" w:sz="4" w:space="0"/>
              <w:left w:val="nil"/>
              <w:bottom w:val="single" w:color="000000" w:sz="4" w:space="0"/>
              <w:right w:val="single" w:color="000000" w:sz="4" w:space="0"/>
            </w:tcBorders>
            <w:vAlign w:val="center"/>
          </w:tcPr>
          <w:p w14:paraId="16A017E5">
            <w:pPr>
              <w:widowControl/>
              <w:jc w:val="center"/>
              <w:textAlignment w:val="center"/>
              <w:rPr>
                <w:rFonts w:hint="eastAsia" w:ascii="宋体" w:hAnsi="宋体" w:eastAsia="宋体" w:cs="宋体"/>
                <w:b/>
                <w:bCs/>
                <w:sz w:val="20"/>
                <w:szCs w:val="20"/>
              </w:rPr>
            </w:pPr>
            <w:r>
              <w:rPr>
                <w:rFonts w:hint="eastAsia" w:ascii="宋体" w:hAnsi="宋体" w:eastAsia="宋体" w:cs="宋体"/>
                <w:b/>
                <w:bCs/>
                <w:kern w:val="0"/>
                <w:sz w:val="20"/>
                <w:szCs w:val="20"/>
              </w:rPr>
              <w:t>√</w:t>
            </w:r>
          </w:p>
        </w:tc>
        <w:tc>
          <w:tcPr>
            <w:tcW w:w="689" w:type="dxa"/>
            <w:tcBorders>
              <w:top w:val="single" w:color="000000" w:sz="4" w:space="0"/>
              <w:left w:val="single" w:color="000000" w:sz="4" w:space="0"/>
              <w:bottom w:val="single" w:color="000000" w:sz="4" w:space="0"/>
              <w:right w:val="single" w:color="000000" w:sz="4" w:space="0"/>
            </w:tcBorders>
            <w:noWrap/>
            <w:vAlign w:val="center"/>
          </w:tcPr>
          <w:p w14:paraId="16C15C86">
            <w:pPr>
              <w:jc w:val="center"/>
              <w:rPr>
                <w:rFonts w:hint="eastAsia" w:ascii="宋体" w:hAnsi="宋体" w:eastAsia="宋体" w:cs="宋体"/>
                <w:b/>
                <w:bCs/>
                <w:sz w:val="20"/>
                <w:szCs w:val="20"/>
              </w:rPr>
            </w:pPr>
          </w:p>
        </w:tc>
        <w:tc>
          <w:tcPr>
            <w:tcW w:w="1199" w:type="dxa"/>
            <w:tcBorders>
              <w:top w:val="single" w:color="000000" w:sz="4" w:space="0"/>
              <w:left w:val="single" w:color="000000" w:sz="4" w:space="0"/>
              <w:bottom w:val="single" w:color="000000" w:sz="4" w:space="0"/>
              <w:right w:val="single" w:color="000000" w:sz="8" w:space="0"/>
            </w:tcBorders>
            <w:noWrap/>
            <w:vAlign w:val="center"/>
          </w:tcPr>
          <w:p w14:paraId="13073A3A">
            <w:pPr>
              <w:jc w:val="center"/>
              <w:rPr>
                <w:rFonts w:hint="eastAsia" w:ascii="宋体" w:hAnsi="宋体" w:eastAsia="宋体" w:cs="宋体"/>
                <w:sz w:val="20"/>
                <w:szCs w:val="20"/>
              </w:rPr>
            </w:pPr>
          </w:p>
        </w:tc>
      </w:tr>
      <w:tr w14:paraId="4A04EB6E">
        <w:tblPrEx>
          <w:tblCellMar>
            <w:top w:w="0" w:type="dxa"/>
            <w:left w:w="108" w:type="dxa"/>
            <w:bottom w:w="0" w:type="dxa"/>
            <w:right w:w="108" w:type="dxa"/>
          </w:tblCellMar>
        </w:tblPrEx>
        <w:trPr>
          <w:trHeight w:val="702" w:hRule="atLeast"/>
        </w:trPr>
        <w:tc>
          <w:tcPr>
            <w:tcW w:w="417" w:type="dxa"/>
            <w:tcBorders>
              <w:top w:val="single" w:color="000000" w:sz="4" w:space="0"/>
              <w:left w:val="single" w:color="000000" w:sz="8" w:space="0"/>
              <w:bottom w:val="single" w:color="000000" w:sz="4" w:space="0"/>
              <w:right w:val="single" w:color="000000" w:sz="4" w:space="0"/>
            </w:tcBorders>
            <w:vAlign w:val="center"/>
          </w:tcPr>
          <w:p w14:paraId="2E1D896D">
            <w:pPr>
              <w:widowControl/>
              <w:jc w:val="center"/>
              <w:textAlignment w:val="center"/>
              <w:rPr>
                <w:rFonts w:hint="eastAsia" w:ascii="宋体" w:hAnsi="宋体" w:eastAsia="宋体" w:cs="宋体"/>
                <w:sz w:val="20"/>
                <w:szCs w:val="20"/>
              </w:rPr>
            </w:pPr>
            <w:r>
              <w:rPr>
                <w:rFonts w:hint="eastAsia" w:ascii="宋体" w:hAnsi="宋体" w:eastAsia="宋体" w:cs="宋体"/>
                <w:kern w:val="0"/>
                <w:sz w:val="20"/>
                <w:szCs w:val="20"/>
              </w:rPr>
              <w:t>2</w:t>
            </w:r>
          </w:p>
        </w:tc>
        <w:tc>
          <w:tcPr>
            <w:tcW w:w="662" w:type="dxa"/>
            <w:tcBorders>
              <w:top w:val="single" w:color="000000" w:sz="4" w:space="0"/>
              <w:left w:val="single" w:color="000000" w:sz="4" w:space="0"/>
              <w:bottom w:val="single" w:color="000000" w:sz="4" w:space="0"/>
              <w:right w:val="single" w:color="000000" w:sz="4" w:space="0"/>
            </w:tcBorders>
            <w:vAlign w:val="center"/>
          </w:tcPr>
          <w:p w14:paraId="3E2DE0CE">
            <w:pPr>
              <w:jc w:val="left"/>
              <w:rPr>
                <w:rFonts w:hint="eastAsia" w:ascii="宋体" w:hAnsi="宋体" w:eastAsia="宋体" w:cs="宋体"/>
                <w:sz w:val="20"/>
                <w:szCs w:val="20"/>
              </w:rPr>
            </w:pPr>
          </w:p>
        </w:tc>
        <w:tc>
          <w:tcPr>
            <w:tcW w:w="1066" w:type="dxa"/>
            <w:tcBorders>
              <w:top w:val="single" w:color="000000" w:sz="4" w:space="0"/>
              <w:left w:val="single" w:color="000000" w:sz="4" w:space="0"/>
              <w:bottom w:val="single" w:color="000000" w:sz="4" w:space="0"/>
              <w:right w:val="single" w:color="000000" w:sz="4" w:space="0"/>
            </w:tcBorders>
            <w:vAlign w:val="center"/>
          </w:tcPr>
          <w:p w14:paraId="0116203F">
            <w:pPr>
              <w:rPr>
                <w:rFonts w:hint="eastAsia" w:ascii="宋体" w:hAnsi="宋体" w:eastAsia="宋体" w:cs="宋体"/>
                <w:sz w:val="20"/>
                <w:szCs w:val="20"/>
              </w:rPr>
            </w:pPr>
          </w:p>
        </w:tc>
        <w:tc>
          <w:tcPr>
            <w:tcW w:w="1080" w:type="dxa"/>
            <w:gridSpan w:val="2"/>
            <w:tcBorders>
              <w:top w:val="single" w:color="000000" w:sz="4" w:space="0"/>
              <w:left w:val="single" w:color="000000" w:sz="4" w:space="0"/>
              <w:bottom w:val="single" w:color="000000" w:sz="4" w:space="0"/>
              <w:right w:val="nil"/>
            </w:tcBorders>
            <w:vAlign w:val="center"/>
          </w:tcPr>
          <w:p w14:paraId="48DFC975">
            <w:pPr>
              <w:rPr>
                <w:rFonts w:hint="eastAsia" w:ascii="宋体" w:hAnsi="宋体" w:eastAsia="宋体" w:cs="宋体"/>
                <w:sz w:val="20"/>
                <w:szCs w:val="20"/>
              </w:rPr>
            </w:pPr>
          </w:p>
        </w:tc>
        <w:tc>
          <w:tcPr>
            <w:tcW w:w="927" w:type="dxa"/>
            <w:tcBorders>
              <w:top w:val="single" w:color="000000" w:sz="4" w:space="0"/>
              <w:left w:val="single" w:color="000000" w:sz="8" w:space="0"/>
              <w:bottom w:val="single" w:color="000000" w:sz="4" w:space="0"/>
              <w:right w:val="single" w:color="000000" w:sz="4" w:space="0"/>
            </w:tcBorders>
            <w:vAlign w:val="center"/>
          </w:tcPr>
          <w:p w14:paraId="4C406CAA">
            <w:pPr>
              <w:jc w:val="center"/>
              <w:rPr>
                <w:rFonts w:hint="eastAsia" w:ascii="宋体" w:hAnsi="宋体" w:eastAsia="宋体" w:cs="宋体"/>
                <w:sz w:val="20"/>
                <w:szCs w:val="20"/>
              </w:rPr>
            </w:pPr>
          </w:p>
        </w:tc>
        <w:tc>
          <w:tcPr>
            <w:tcW w:w="868" w:type="dxa"/>
            <w:tcBorders>
              <w:top w:val="single" w:color="000000" w:sz="4" w:space="0"/>
              <w:left w:val="single" w:color="000000" w:sz="4" w:space="0"/>
              <w:bottom w:val="single" w:color="000000" w:sz="4" w:space="0"/>
              <w:right w:val="nil"/>
            </w:tcBorders>
            <w:vAlign w:val="center"/>
          </w:tcPr>
          <w:p w14:paraId="5E958EEC">
            <w:pPr>
              <w:jc w:val="center"/>
              <w:rPr>
                <w:rFonts w:hint="eastAsia" w:ascii="宋体" w:hAnsi="宋体" w:eastAsia="宋体" w:cs="宋体"/>
                <w:sz w:val="20"/>
                <w:szCs w:val="20"/>
              </w:rPr>
            </w:pPr>
          </w:p>
        </w:tc>
        <w:tc>
          <w:tcPr>
            <w:tcW w:w="700" w:type="dxa"/>
            <w:tcBorders>
              <w:top w:val="single" w:color="000000" w:sz="4" w:space="0"/>
              <w:left w:val="single" w:color="000000" w:sz="8" w:space="0"/>
              <w:bottom w:val="single" w:color="000000" w:sz="4" w:space="0"/>
              <w:right w:val="single" w:color="000000" w:sz="4" w:space="0"/>
            </w:tcBorders>
            <w:vAlign w:val="center"/>
          </w:tcPr>
          <w:p w14:paraId="2A98D36B">
            <w:pPr>
              <w:jc w:val="center"/>
              <w:rPr>
                <w:rFonts w:hint="eastAsia" w:ascii="宋体" w:hAnsi="宋体" w:eastAsia="宋体" w:cs="宋体"/>
                <w:b/>
                <w:bCs/>
                <w:sz w:val="20"/>
                <w:szCs w:val="20"/>
              </w:rPr>
            </w:pPr>
          </w:p>
        </w:tc>
        <w:tc>
          <w:tcPr>
            <w:tcW w:w="680" w:type="dxa"/>
            <w:tcBorders>
              <w:top w:val="single" w:color="000000" w:sz="4" w:space="0"/>
              <w:left w:val="single" w:color="000000" w:sz="4" w:space="0"/>
              <w:bottom w:val="single" w:color="000000" w:sz="4" w:space="0"/>
              <w:right w:val="single" w:color="000000" w:sz="4" w:space="0"/>
            </w:tcBorders>
            <w:noWrap/>
            <w:vAlign w:val="center"/>
          </w:tcPr>
          <w:p w14:paraId="43F387FD">
            <w:pPr>
              <w:rPr>
                <w:rFonts w:hint="eastAsia" w:ascii="宋体" w:hAnsi="宋体" w:eastAsia="宋体" w:cs="宋体"/>
                <w:b/>
                <w:bCs/>
                <w:sz w:val="22"/>
              </w:rPr>
            </w:pPr>
          </w:p>
        </w:tc>
        <w:tc>
          <w:tcPr>
            <w:tcW w:w="1452" w:type="dxa"/>
            <w:tcBorders>
              <w:top w:val="single" w:color="000000" w:sz="4" w:space="0"/>
              <w:left w:val="single" w:color="000000" w:sz="4" w:space="0"/>
              <w:bottom w:val="single" w:color="000000" w:sz="4" w:space="0"/>
              <w:right w:val="single" w:color="000000" w:sz="8" w:space="0"/>
            </w:tcBorders>
            <w:vAlign w:val="center"/>
          </w:tcPr>
          <w:p w14:paraId="70B4BFC3">
            <w:pPr>
              <w:jc w:val="left"/>
              <w:rPr>
                <w:rFonts w:hint="eastAsia" w:ascii="宋体" w:hAnsi="宋体" w:eastAsia="宋体" w:cs="宋体"/>
                <w:sz w:val="20"/>
                <w:szCs w:val="20"/>
              </w:rPr>
            </w:pPr>
          </w:p>
        </w:tc>
        <w:tc>
          <w:tcPr>
            <w:tcW w:w="689" w:type="dxa"/>
            <w:tcBorders>
              <w:top w:val="single" w:color="000000" w:sz="4" w:space="0"/>
              <w:left w:val="nil"/>
              <w:bottom w:val="single" w:color="000000" w:sz="4" w:space="0"/>
              <w:right w:val="single" w:color="000000" w:sz="4" w:space="0"/>
            </w:tcBorders>
            <w:vAlign w:val="center"/>
          </w:tcPr>
          <w:p w14:paraId="612D8749">
            <w:pPr>
              <w:jc w:val="center"/>
              <w:rPr>
                <w:rFonts w:hint="eastAsia" w:ascii="宋体" w:hAnsi="宋体" w:eastAsia="宋体" w:cs="宋体"/>
                <w:b/>
                <w:bCs/>
                <w:sz w:val="20"/>
                <w:szCs w:val="20"/>
              </w:rPr>
            </w:pPr>
          </w:p>
        </w:tc>
        <w:tc>
          <w:tcPr>
            <w:tcW w:w="689" w:type="dxa"/>
            <w:tcBorders>
              <w:top w:val="single" w:color="000000" w:sz="4" w:space="0"/>
              <w:left w:val="single" w:color="000000" w:sz="4" w:space="0"/>
              <w:bottom w:val="single" w:color="000000" w:sz="4" w:space="0"/>
              <w:right w:val="single" w:color="000000" w:sz="4" w:space="0"/>
            </w:tcBorders>
            <w:noWrap/>
            <w:vAlign w:val="center"/>
          </w:tcPr>
          <w:p w14:paraId="2AABE7A5">
            <w:pPr>
              <w:jc w:val="center"/>
              <w:rPr>
                <w:rFonts w:hint="eastAsia" w:ascii="宋体" w:hAnsi="宋体" w:eastAsia="宋体" w:cs="宋体"/>
                <w:b/>
                <w:bCs/>
                <w:sz w:val="20"/>
                <w:szCs w:val="20"/>
              </w:rPr>
            </w:pPr>
          </w:p>
        </w:tc>
        <w:tc>
          <w:tcPr>
            <w:tcW w:w="1199" w:type="dxa"/>
            <w:tcBorders>
              <w:top w:val="single" w:color="000000" w:sz="4" w:space="0"/>
              <w:left w:val="single" w:color="000000" w:sz="4" w:space="0"/>
              <w:bottom w:val="single" w:color="000000" w:sz="4" w:space="0"/>
              <w:right w:val="single" w:color="000000" w:sz="8" w:space="0"/>
            </w:tcBorders>
            <w:noWrap/>
            <w:vAlign w:val="center"/>
          </w:tcPr>
          <w:p w14:paraId="1FE25C8A">
            <w:pPr>
              <w:jc w:val="center"/>
              <w:rPr>
                <w:rFonts w:hint="eastAsia" w:ascii="宋体" w:hAnsi="宋体" w:eastAsia="宋体" w:cs="宋体"/>
                <w:sz w:val="20"/>
                <w:szCs w:val="20"/>
              </w:rPr>
            </w:pPr>
          </w:p>
        </w:tc>
      </w:tr>
      <w:tr w14:paraId="723CCCA7">
        <w:tblPrEx>
          <w:tblCellMar>
            <w:top w:w="0" w:type="dxa"/>
            <w:left w:w="108" w:type="dxa"/>
            <w:bottom w:w="0" w:type="dxa"/>
            <w:right w:w="108" w:type="dxa"/>
          </w:tblCellMar>
        </w:tblPrEx>
        <w:trPr>
          <w:trHeight w:val="702" w:hRule="atLeast"/>
        </w:trPr>
        <w:tc>
          <w:tcPr>
            <w:tcW w:w="417" w:type="dxa"/>
            <w:tcBorders>
              <w:top w:val="single" w:color="000000" w:sz="4" w:space="0"/>
              <w:left w:val="single" w:color="000000" w:sz="8" w:space="0"/>
              <w:bottom w:val="single" w:color="000000" w:sz="4" w:space="0"/>
              <w:right w:val="single" w:color="000000" w:sz="4" w:space="0"/>
            </w:tcBorders>
            <w:vAlign w:val="center"/>
          </w:tcPr>
          <w:p w14:paraId="39C8B7DF">
            <w:pPr>
              <w:widowControl/>
              <w:jc w:val="center"/>
              <w:textAlignment w:val="center"/>
              <w:rPr>
                <w:rFonts w:hint="eastAsia" w:ascii="宋体" w:hAnsi="宋体" w:eastAsia="宋体" w:cs="宋体"/>
                <w:sz w:val="20"/>
                <w:szCs w:val="20"/>
              </w:rPr>
            </w:pPr>
            <w:r>
              <w:rPr>
                <w:rFonts w:hint="eastAsia" w:ascii="宋体" w:hAnsi="宋体" w:eastAsia="宋体" w:cs="宋体"/>
                <w:kern w:val="0"/>
                <w:sz w:val="20"/>
                <w:szCs w:val="20"/>
              </w:rPr>
              <w:t>3</w:t>
            </w:r>
          </w:p>
        </w:tc>
        <w:tc>
          <w:tcPr>
            <w:tcW w:w="662" w:type="dxa"/>
            <w:tcBorders>
              <w:top w:val="single" w:color="000000" w:sz="4" w:space="0"/>
              <w:left w:val="single" w:color="000000" w:sz="4" w:space="0"/>
              <w:bottom w:val="single" w:color="000000" w:sz="4" w:space="0"/>
              <w:right w:val="single" w:color="000000" w:sz="4" w:space="0"/>
            </w:tcBorders>
            <w:vAlign w:val="center"/>
          </w:tcPr>
          <w:p w14:paraId="6442C8D7">
            <w:pPr>
              <w:jc w:val="left"/>
              <w:rPr>
                <w:rFonts w:hint="eastAsia" w:ascii="宋体" w:hAnsi="宋体" w:eastAsia="宋体" w:cs="宋体"/>
                <w:sz w:val="20"/>
                <w:szCs w:val="20"/>
              </w:rPr>
            </w:pPr>
          </w:p>
        </w:tc>
        <w:tc>
          <w:tcPr>
            <w:tcW w:w="1066" w:type="dxa"/>
            <w:tcBorders>
              <w:top w:val="single" w:color="000000" w:sz="4" w:space="0"/>
              <w:left w:val="single" w:color="000000" w:sz="4" w:space="0"/>
              <w:bottom w:val="single" w:color="000000" w:sz="4" w:space="0"/>
              <w:right w:val="single" w:color="000000" w:sz="4" w:space="0"/>
            </w:tcBorders>
            <w:vAlign w:val="center"/>
          </w:tcPr>
          <w:p w14:paraId="711FD058">
            <w:pPr>
              <w:rPr>
                <w:rFonts w:hint="eastAsia" w:ascii="宋体" w:hAnsi="宋体" w:eastAsia="宋体" w:cs="宋体"/>
                <w:sz w:val="20"/>
                <w:szCs w:val="20"/>
              </w:rPr>
            </w:pPr>
          </w:p>
        </w:tc>
        <w:tc>
          <w:tcPr>
            <w:tcW w:w="1080" w:type="dxa"/>
            <w:gridSpan w:val="2"/>
            <w:tcBorders>
              <w:top w:val="single" w:color="000000" w:sz="4" w:space="0"/>
              <w:left w:val="single" w:color="000000" w:sz="4" w:space="0"/>
              <w:bottom w:val="single" w:color="000000" w:sz="4" w:space="0"/>
              <w:right w:val="nil"/>
            </w:tcBorders>
            <w:vAlign w:val="center"/>
          </w:tcPr>
          <w:p w14:paraId="6C88C3EA">
            <w:pPr>
              <w:rPr>
                <w:rFonts w:hint="eastAsia" w:ascii="宋体" w:hAnsi="宋体" w:eastAsia="宋体" w:cs="宋体"/>
                <w:sz w:val="20"/>
                <w:szCs w:val="20"/>
              </w:rPr>
            </w:pPr>
          </w:p>
        </w:tc>
        <w:tc>
          <w:tcPr>
            <w:tcW w:w="927" w:type="dxa"/>
            <w:tcBorders>
              <w:top w:val="single" w:color="000000" w:sz="4" w:space="0"/>
              <w:left w:val="single" w:color="000000" w:sz="8" w:space="0"/>
              <w:bottom w:val="single" w:color="000000" w:sz="4" w:space="0"/>
              <w:right w:val="single" w:color="000000" w:sz="4" w:space="0"/>
            </w:tcBorders>
            <w:vAlign w:val="center"/>
          </w:tcPr>
          <w:p w14:paraId="55D0E344">
            <w:pPr>
              <w:jc w:val="center"/>
              <w:rPr>
                <w:rFonts w:hint="eastAsia" w:ascii="宋体" w:hAnsi="宋体" w:eastAsia="宋体" w:cs="宋体"/>
                <w:sz w:val="20"/>
                <w:szCs w:val="20"/>
              </w:rPr>
            </w:pPr>
          </w:p>
        </w:tc>
        <w:tc>
          <w:tcPr>
            <w:tcW w:w="868" w:type="dxa"/>
            <w:tcBorders>
              <w:top w:val="single" w:color="000000" w:sz="4" w:space="0"/>
              <w:left w:val="single" w:color="000000" w:sz="4" w:space="0"/>
              <w:bottom w:val="single" w:color="000000" w:sz="4" w:space="0"/>
              <w:right w:val="nil"/>
            </w:tcBorders>
            <w:vAlign w:val="center"/>
          </w:tcPr>
          <w:p w14:paraId="49AB79E6">
            <w:pPr>
              <w:jc w:val="center"/>
              <w:rPr>
                <w:rFonts w:hint="eastAsia" w:ascii="宋体" w:hAnsi="宋体" w:eastAsia="宋体" w:cs="宋体"/>
                <w:sz w:val="20"/>
                <w:szCs w:val="20"/>
              </w:rPr>
            </w:pPr>
          </w:p>
        </w:tc>
        <w:tc>
          <w:tcPr>
            <w:tcW w:w="700" w:type="dxa"/>
            <w:tcBorders>
              <w:top w:val="single" w:color="000000" w:sz="4" w:space="0"/>
              <w:left w:val="single" w:color="000000" w:sz="8" w:space="0"/>
              <w:bottom w:val="single" w:color="000000" w:sz="4" w:space="0"/>
              <w:right w:val="single" w:color="000000" w:sz="4" w:space="0"/>
            </w:tcBorders>
            <w:vAlign w:val="center"/>
          </w:tcPr>
          <w:p w14:paraId="5270505C">
            <w:pPr>
              <w:jc w:val="center"/>
              <w:rPr>
                <w:rFonts w:hint="eastAsia" w:ascii="宋体" w:hAnsi="宋体" w:eastAsia="宋体" w:cs="宋体"/>
                <w:b/>
                <w:bCs/>
                <w:sz w:val="20"/>
                <w:szCs w:val="20"/>
              </w:rPr>
            </w:pPr>
          </w:p>
        </w:tc>
        <w:tc>
          <w:tcPr>
            <w:tcW w:w="680" w:type="dxa"/>
            <w:tcBorders>
              <w:top w:val="single" w:color="000000" w:sz="4" w:space="0"/>
              <w:left w:val="single" w:color="000000" w:sz="4" w:space="0"/>
              <w:bottom w:val="single" w:color="000000" w:sz="4" w:space="0"/>
              <w:right w:val="single" w:color="000000" w:sz="4" w:space="0"/>
            </w:tcBorders>
            <w:noWrap/>
            <w:vAlign w:val="center"/>
          </w:tcPr>
          <w:p w14:paraId="39C7B12A">
            <w:pPr>
              <w:rPr>
                <w:rFonts w:hint="eastAsia" w:ascii="宋体" w:hAnsi="宋体" w:eastAsia="宋体" w:cs="宋体"/>
                <w:b/>
                <w:bCs/>
                <w:sz w:val="22"/>
              </w:rPr>
            </w:pPr>
          </w:p>
        </w:tc>
        <w:tc>
          <w:tcPr>
            <w:tcW w:w="1452" w:type="dxa"/>
            <w:tcBorders>
              <w:top w:val="single" w:color="000000" w:sz="4" w:space="0"/>
              <w:left w:val="single" w:color="000000" w:sz="4" w:space="0"/>
              <w:bottom w:val="single" w:color="000000" w:sz="4" w:space="0"/>
              <w:right w:val="single" w:color="000000" w:sz="8" w:space="0"/>
            </w:tcBorders>
            <w:vAlign w:val="center"/>
          </w:tcPr>
          <w:p w14:paraId="3CE466A2">
            <w:pPr>
              <w:jc w:val="left"/>
              <w:rPr>
                <w:rFonts w:hint="eastAsia" w:ascii="宋体" w:hAnsi="宋体" w:eastAsia="宋体" w:cs="宋体"/>
                <w:sz w:val="20"/>
                <w:szCs w:val="20"/>
              </w:rPr>
            </w:pPr>
          </w:p>
        </w:tc>
        <w:tc>
          <w:tcPr>
            <w:tcW w:w="689" w:type="dxa"/>
            <w:tcBorders>
              <w:top w:val="single" w:color="000000" w:sz="4" w:space="0"/>
              <w:left w:val="nil"/>
              <w:bottom w:val="single" w:color="000000" w:sz="4" w:space="0"/>
              <w:right w:val="single" w:color="000000" w:sz="4" w:space="0"/>
            </w:tcBorders>
            <w:vAlign w:val="center"/>
          </w:tcPr>
          <w:p w14:paraId="21422E8B">
            <w:pPr>
              <w:jc w:val="center"/>
              <w:rPr>
                <w:rFonts w:hint="eastAsia" w:ascii="宋体" w:hAnsi="宋体" w:eastAsia="宋体" w:cs="宋体"/>
                <w:b/>
                <w:bCs/>
                <w:sz w:val="20"/>
                <w:szCs w:val="20"/>
              </w:rPr>
            </w:pPr>
          </w:p>
        </w:tc>
        <w:tc>
          <w:tcPr>
            <w:tcW w:w="689" w:type="dxa"/>
            <w:tcBorders>
              <w:top w:val="single" w:color="000000" w:sz="4" w:space="0"/>
              <w:left w:val="single" w:color="000000" w:sz="4" w:space="0"/>
              <w:bottom w:val="single" w:color="000000" w:sz="4" w:space="0"/>
              <w:right w:val="single" w:color="000000" w:sz="4" w:space="0"/>
            </w:tcBorders>
            <w:noWrap/>
            <w:vAlign w:val="center"/>
          </w:tcPr>
          <w:p w14:paraId="03004E3C">
            <w:pPr>
              <w:jc w:val="center"/>
              <w:rPr>
                <w:rFonts w:hint="eastAsia" w:ascii="宋体" w:hAnsi="宋体" w:eastAsia="宋体" w:cs="宋体"/>
                <w:b/>
                <w:bCs/>
                <w:sz w:val="20"/>
                <w:szCs w:val="20"/>
              </w:rPr>
            </w:pPr>
          </w:p>
        </w:tc>
        <w:tc>
          <w:tcPr>
            <w:tcW w:w="1199" w:type="dxa"/>
            <w:tcBorders>
              <w:top w:val="single" w:color="000000" w:sz="4" w:space="0"/>
              <w:left w:val="single" w:color="000000" w:sz="4" w:space="0"/>
              <w:bottom w:val="single" w:color="000000" w:sz="4" w:space="0"/>
              <w:right w:val="single" w:color="000000" w:sz="8" w:space="0"/>
            </w:tcBorders>
            <w:noWrap/>
            <w:vAlign w:val="center"/>
          </w:tcPr>
          <w:p w14:paraId="3DC60F11">
            <w:pPr>
              <w:jc w:val="center"/>
              <w:rPr>
                <w:rFonts w:hint="eastAsia" w:ascii="宋体" w:hAnsi="宋体" w:eastAsia="宋体" w:cs="宋体"/>
                <w:sz w:val="20"/>
                <w:szCs w:val="20"/>
              </w:rPr>
            </w:pPr>
          </w:p>
        </w:tc>
      </w:tr>
      <w:tr w14:paraId="6C74F16A">
        <w:tblPrEx>
          <w:tblCellMar>
            <w:top w:w="0" w:type="dxa"/>
            <w:left w:w="108" w:type="dxa"/>
            <w:bottom w:w="0" w:type="dxa"/>
            <w:right w:w="108" w:type="dxa"/>
          </w:tblCellMar>
        </w:tblPrEx>
        <w:trPr>
          <w:trHeight w:val="800" w:hRule="atLeast"/>
        </w:trPr>
        <w:tc>
          <w:tcPr>
            <w:tcW w:w="3225" w:type="dxa"/>
            <w:gridSpan w:val="5"/>
            <w:tcBorders>
              <w:top w:val="single" w:color="000000" w:sz="4" w:space="0"/>
              <w:left w:val="single" w:color="000000" w:sz="8" w:space="0"/>
              <w:bottom w:val="single" w:color="000000" w:sz="4" w:space="0"/>
              <w:right w:val="single" w:color="000000" w:sz="4" w:space="0"/>
            </w:tcBorders>
            <w:vAlign w:val="center"/>
          </w:tcPr>
          <w:p w14:paraId="21840C78">
            <w:pPr>
              <w:widowControl/>
              <w:jc w:val="left"/>
              <w:textAlignment w:val="center"/>
              <w:rPr>
                <w:rFonts w:hint="eastAsia" w:ascii="宋体" w:hAnsi="宋体" w:eastAsia="宋体" w:cs="宋体"/>
                <w:b/>
                <w:bCs/>
                <w:sz w:val="20"/>
                <w:szCs w:val="20"/>
              </w:rPr>
            </w:pPr>
            <w:r>
              <w:rPr>
                <w:rFonts w:hint="eastAsia" w:ascii="宋体" w:hAnsi="宋体" w:eastAsia="宋体" w:cs="宋体"/>
                <w:b/>
                <w:bCs/>
                <w:kern w:val="0"/>
                <w:sz w:val="20"/>
                <w:szCs w:val="20"/>
              </w:rPr>
              <w:t>二、咨询版次：2023年  月  日版方案/初步/施工图设计文件</w:t>
            </w:r>
          </w:p>
        </w:tc>
        <w:tc>
          <w:tcPr>
            <w:tcW w:w="927" w:type="dxa"/>
            <w:tcBorders>
              <w:top w:val="single" w:color="000000" w:sz="4" w:space="0"/>
              <w:left w:val="single" w:color="000000" w:sz="8" w:space="0"/>
              <w:bottom w:val="single" w:color="000000" w:sz="4" w:space="0"/>
              <w:right w:val="single" w:color="000000" w:sz="4" w:space="0"/>
            </w:tcBorders>
            <w:vAlign w:val="center"/>
          </w:tcPr>
          <w:p w14:paraId="61DF1D5A">
            <w:pPr>
              <w:jc w:val="center"/>
              <w:rPr>
                <w:rFonts w:hint="eastAsia" w:ascii="宋体" w:hAnsi="宋体" w:eastAsia="宋体" w:cs="宋体"/>
                <w:b/>
                <w:bCs/>
                <w:sz w:val="20"/>
                <w:szCs w:val="20"/>
              </w:rPr>
            </w:pPr>
          </w:p>
        </w:tc>
        <w:tc>
          <w:tcPr>
            <w:tcW w:w="868" w:type="dxa"/>
            <w:tcBorders>
              <w:top w:val="single" w:color="000000" w:sz="4" w:space="0"/>
              <w:left w:val="single" w:color="000000" w:sz="4" w:space="0"/>
              <w:bottom w:val="single" w:color="000000" w:sz="4" w:space="0"/>
              <w:right w:val="nil"/>
            </w:tcBorders>
            <w:vAlign w:val="center"/>
          </w:tcPr>
          <w:p w14:paraId="4775E3A8">
            <w:pPr>
              <w:jc w:val="center"/>
              <w:rPr>
                <w:rFonts w:hint="eastAsia" w:ascii="宋体" w:hAnsi="宋体" w:eastAsia="宋体" w:cs="宋体"/>
                <w:b/>
                <w:bCs/>
                <w:sz w:val="20"/>
                <w:szCs w:val="20"/>
              </w:rPr>
            </w:pPr>
          </w:p>
        </w:tc>
        <w:tc>
          <w:tcPr>
            <w:tcW w:w="700" w:type="dxa"/>
            <w:tcBorders>
              <w:top w:val="single" w:color="000000" w:sz="4" w:space="0"/>
              <w:left w:val="single" w:color="000000" w:sz="8" w:space="0"/>
              <w:bottom w:val="single" w:color="000000" w:sz="4" w:space="0"/>
              <w:right w:val="single" w:color="000000" w:sz="4" w:space="0"/>
            </w:tcBorders>
            <w:vAlign w:val="center"/>
          </w:tcPr>
          <w:p w14:paraId="10AB7555">
            <w:pPr>
              <w:jc w:val="center"/>
              <w:rPr>
                <w:rFonts w:hint="eastAsia" w:ascii="宋体" w:hAnsi="宋体" w:eastAsia="宋体" w:cs="宋体"/>
                <w:b/>
                <w:bCs/>
                <w:sz w:val="20"/>
                <w:szCs w:val="20"/>
              </w:rPr>
            </w:pPr>
          </w:p>
        </w:tc>
        <w:tc>
          <w:tcPr>
            <w:tcW w:w="680" w:type="dxa"/>
            <w:tcBorders>
              <w:top w:val="single" w:color="000000" w:sz="4" w:space="0"/>
              <w:left w:val="single" w:color="000000" w:sz="4" w:space="0"/>
              <w:bottom w:val="single" w:color="000000" w:sz="4" w:space="0"/>
              <w:right w:val="single" w:color="000000" w:sz="4" w:space="0"/>
            </w:tcBorders>
            <w:noWrap/>
            <w:vAlign w:val="center"/>
          </w:tcPr>
          <w:p w14:paraId="1CC0F46E">
            <w:pPr>
              <w:rPr>
                <w:rFonts w:hint="eastAsia" w:ascii="宋体" w:hAnsi="宋体" w:eastAsia="宋体" w:cs="宋体"/>
                <w:sz w:val="22"/>
              </w:rPr>
            </w:pPr>
          </w:p>
        </w:tc>
        <w:tc>
          <w:tcPr>
            <w:tcW w:w="1452" w:type="dxa"/>
            <w:tcBorders>
              <w:top w:val="single" w:color="000000" w:sz="4" w:space="0"/>
              <w:left w:val="single" w:color="000000" w:sz="4" w:space="0"/>
              <w:bottom w:val="single" w:color="000000" w:sz="4" w:space="0"/>
              <w:right w:val="single" w:color="000000" w:sz="8" w:space="0"/>
            </w:tcBorders>
            <w:vAlign w:val="center"/>
          </w:tcPr>
          <w:p w14:paraId="316DDC6E">
            <w:pPr>
              <w:jc w:val="left"/>
              <w:rPr>
                <w:rFonts w:hint="eastAsia" w:ascii="宋体" w:hAnsi="宋体" w:eastAsia="宋体" w:cs="宋体"/>
                <w:sz w:val="20"/>
                <w:szCs w:val="20"/>
              </w:rPr>
            </w:pPr>
          </w:p>
        </w:tc>
        <w:tc>
          <w:tcPr>
            <w:tcW w:w="689" w:type="dxa"/>
            <w:tcBorders>
              <w:top w:val="single" w:color="000000" w:sz="4" w:space="0"/>
              <w:left w:val="nil"/>
              <w:bottom w:val="single" w:color="000000" w:sz="4" w:space="0"/>
              <w:right w:val="single" w:color="000000" w:sz="4" w:space="0"/>
            </w:tcBorders>
            <w:vAlign w:val="center"/>
          </w:tcPr>
          <w:p w14:paraId="5EAE31D7">
            <w:pPr>
              <w:jc w:val="center"/>
              <w:rPr>
                <w:rFonts w:hint="eastAsia" w:ascii="宋体" w:hAnsi="宋体" w:eastAsia="宋体" w:cs="宋体"/>
                <w:sz w:val="20"/>
                <w:szCs w:val="20"/>
              </w:rPr>
            </w:pPr>
          </w:p>
        </w:tc>
        <w:tc>
          <w:tcPr>
            <w:tcW w:w="689" w:type="dxa"/>
            <w:tcBorders>
              <w:top w:val="single" w:color="000000" w:sz="4" w:space="0"/>
              <w:left w:val="single" w:color="000000" w:sz="4" w:space="0"/>
              <w:bottom w:val="single" w:color="000000" w:sz="4" w:space="0"/>
              <w:right w:val="single" w:color="000000" w:sz="4" w:space="0"/>
            </w:tcBorders>
            <w:noWrap/>
            <w:vAlign w:val="center"/>
          </w:tcPr>
          <w:p w14:paraId="5BBAE2B1">
            <w:pPr>
              <w:jc w:val="center"/>
              <w:rPr>
                <w:rFonts w:hint="eastAsia" w:ascii="宋体" w:hAnsi="宋体" w:eastAsia="宋体" w:cs="宋体"/>
                <w:sz w:val="20"/>
                <w:szCs w:val="20"/>
              </w:rPr>
            </w:pPr>
          </w:p>
        </w:tc>
        <w:tc>
          <w:tcPr>
            <w:tcW w:w="1199" w:type="dxa"/>
            <w:tcBorders>
              <w:top w:val="single" w:color="000000" w:sz="4" w:space="0"/>
              <w:left w:val="single" w:color="000000" w:sz="4" w:space="0"/>
              <w:bottom w:val="single" w:color="000000" w:sz="4" w:space="0"/>
              <w:right w:val="single" w:color="000000" w:sz="8" w:space="0"/>
            </w:tcBorders>
            <w:noWrap/>
            <w:vAlign w:val="center"/>
          </w:tcPr>
          <w:p w14:paraId="2B97751F">
            <w:pPr>
              <w:jc w:val="center"/>
              <w:rPr>
                <w:rFonts w:hint="eastAsia" w:ascii="宋体" w:hAnsi="宋体" w:eastAsia="宋体" w:cs="宋体"/>
                <w:sz w:val="20"/>
                <w:szCs w:val="20"/>
              </w:rPr>
            </w:pPr>
          </w:p>
        </w:tc>
      </w:tr>
      <w:tr w14:paraId="629706B8">
        <w:tblPrEx>
          <w:tblCellMar>
            <w:top w:w="0" w:type="dxa"/>
            <w:left w:w="108" w:type="dxa"/>
            <w:bottom w:w="0" w:type="dxa"/>
            <w:right w:w="108" w:type="dxa"/>
          </w:tblCellMar>
        </w:tblPrEx>
        <w:trPr>
          <w:trHeight w:val="702" w:hRule="atLeast"/>
        </w:trPr>
        <w:tc>
          <w:tcPr>
            <w:tcW w:w="417" w:type="dxa"/>
            <w:tcBorders>
              <w:top w:val="single" w:color="000000" w:sz="4" w:space="0"/>
              <w:left w:val="single" w:color="000000" w:sz="8" w:space="0"/>
              <w:bottom w:val="single" w:color="000000" w:sz="4" w:space="0"/>
              <w:right w:val="single" w:color="000000" w:sz="4" w:space="0"/>
            </w:tcBorders>
            <w:vAlign w:val="center"/>
          </w:tcPr>
          <w:p w14:paraId="5D5E5077">
            <w:pPr>
              <w:widowControl/>
              <w:jc w:val="center"/>
              <w:textAlignment w:val="center"/>
              <w:rPr>
                <w:rFonts w:hint="eastAsia" w:ascii="宋体" w:hAnsi="宋体" w:eastAsia="宋体" w:cs="宋体"/>
                <w:sz w:val="20"/>
                <w:szCs w:val="20"/>
              </w:rPr>
            </w:pPr>
            <w:r>
              <w:rPr>
                <w:rFonts w:hint="eastAsia" w:ascii="宋体" w:hAnsi="宋体" w:eastAsia="宋体" w:cs="宋体"/>
                <w:kern w:val="0"/>
                <w:sz w:val="20"/>
                <w:szCs w:val="20"/>
              </w:rPr>
              <w:t>1</w:t>
            </w:r>
          </w:p>
        </w:tc>
        <w:tc>
          <w:tcPr>
            <w:tcW w:w="662" w:type="dxa"/>
            <w:tcBorders>
              <w:top w:val="single" w:color="000000" w:sz="4" w:space="0"/>
              <w:left w:val="single" w:color="000000" w:sz="4" w:space="0"/>
              <w:bottom w:val="single" w:color="000000" w:sz="4" w:space="0"/>
              <w:right w:val="single" w:color="000000" w:sz="4" w:space="0"/>
            </w:tcBorders>
            <w:vAlign w:val="center"/>
          </w:tcPr>
          <w:p w14:paraId="0641C0DF">
            <w:pPr>
              <w:jc w:val="center"/>
              <w:rPr>
                <w:rFonts w:hint="eastAsia" w:ascii="宋体" w:hAnsi="宋体" w:eastAsia="宋体" w:cs="宋体"/>
                <w:sz w:val="20"/>
                <w:szCs w:val="20"/>
              </w:rPr>
            </w:pPr>
          </w:p>
        </w:tc>
        <w:tc>
          <w:tcPr>
            <w:tcW w:w="1066" w:type="dxa"/>
            <w:tcBorders>
              <w:top w:val="single" w:color="000000" w:sz="4" w:space="0"/>
              <w:left w:val="single" w:color="000000" w:sz="4" w:space="0"/>
              <w:bottom w:val="single" w:color="000000" w:sz="4" w:space="0"/>
              <w:right w:val="single" w:color="000000" w:sz="4" w:space="0"/>
            </w:tcBorders>
            <w:vAlign w:val="center"/>
          </w:tcPr>
          <w:p w14:paraId="2390E41C">
            <w:pPr>
              <w:rPr>
                <w:rFonts w:hint="eastAsia" w:ascii="宋体" w:hAnsi="宋体" w:eastAsia="宋体" w:cs="宋体"/>
                <w:sz w:val="20"/>
                <w:szCs w:val="20"/>
              </w:rPr>
            </w:pPr>
          </w:p>
        </w:tc>
        <w:tc>
          <w:tcPr>
            <w:tcW w:w="1080" w:type="dxa"/>
            <w:gridSpan w:val="2"/>
            <w:tcBorders>
              <w:top w:val="single" w:color="000000" w:sz="4" w:space="0"/>
              <w:left w:val="single" w:color="000000" w:sz="4" w:space="0"/>
              <w:bottom w:val="single" w:color="000000" w:sz="4" w:space="0"/>
              <w:right w:val="nil"/>
            </w:tcBorders>
            <w:vAlign w:val="center"/>
          </w:tcPr>
          <w:p w14:paraId="088BC963">
            <w:pPr>
              <w:rPr>
                <w:rFonts w:hint="eastAsia" w:ascii="宋体" w:hAnsi="宋体" w:eastAsia="宋体" w:cs="宋体"/>
                <w:sz w:val="20"/>
                <w:szCs w:val="20"/>
              </w:rPr>
            </w:pPr>
          </w:p>
        </w:tc>
        <w:tc>
          <w:tcPr>
            <w:tcW w:w="927" w:type="dxa"/>
            <w:tcBorders>
              <w:top w:val="single" w:color="000000" w:sz="4" w:space="0"/>
              <w:left w:val="single" w:color="000000" w:sz="8" w:space="0"/>
              <w:bottom w:val="single" w:color="000000" w:sz="4" w:space="0"/>
              <w:right w:val="single" w:color="000000" w:sz="4" w:space="0"/>
            </w:tcBorders>
            <w:vAlign w:val="center"/>
          </w:tcPr>
          <w:p w14:paraId="75B98BD1">
            <w:pPr>
              <w:jc w:val="center"/>
              <w:rPr>
                <w:rFonts w:hint="eastAsia" w:ascii="宋体" w:hAnsi="宋体" w:eastAsia="宋体" w:cs="宋体"/>
                <w:b/>
                <w:bCs/>
                <w:sz w:val="20"/>
                <w:szCs w:val="20"/>
              </w:rPr>
            </w:pPr>
          </w:p>
        </w:tc>
        <w:tc>
          <w:tcPr>
            <w:tcW w:w="868" w:type="dxa"/>
            <w:tcBorders>
              <w:top w:val="single" w:color="000000" w:sz="4" w:space="0"/>
              <w:left w:val="single" w:color="000000" w:sz="4" w:space="0"/>
              <w:bottom w:val="single" w:color="000000" w:sz="4" w:space="0"/>
              <w:right w:val="nil"/>
            </w:tcBorders>
            <w:vAlign w:val="center"/>
          </w:tcPr>
          <w:p w14:paraId="6A35BB3F">
            <w:pPr>
              <w:jc w:val="center"/>
              <w:rPr>
                <w:rFonts w:hint="eastAsia" w:ascii="宋体" w:hAnsi="宋体" w:eastAsia="宋体" w:cs="宋体"/>
                <w:b/>
                <w:bCs/>
                <w:sz w:val="20"/>
                <w:szCs w:val="20"/>
              </w:rPr>
            </w:pPr>
          </w:p>
        </w:tc>
        <w:tc>
          <w:tcPr>
            <w:tcW w:w="700" w:type="dxa"/>
            <w:tcBorders>
              <w:top w:val="single" w:color="000000" w:sz="4" w:space="0"/>
              <w:left w:val="single" w:color="000000" w:sz="8" w:space="0"/>
              <w:bottom w:val="single" w:color="000000" w:sz="4" w:space="0"/>
              <w:right w:val="single" w:color="000000" w:sz="4" w:space="0"/>
            </w:tcBorders>
            <w:vAlign w:val="center"/>
          </w:tcPr>
          <w:p w14:paraId="2A5D5680">
            <w:pPr>
              <w:jc w:val="center"/>
              <w:rPr>
                <w:rFonts w:hint="eastAsia" w:ascii="宋体" w:hAnsi="宋体" w:eastAsia="宋体" w:cs="宋体"/>
                <w:b/>
                <w:bCs/>
                <w:sz w:val="20"/>
                <w:szCs w:val="20"/>
              </w:rPr>
            </w:pPr>
          </w:p>
        </w:tc>
        <w:tc>
          <w:tcPr>
            <w:tcW w:w="680" w:type="dxa"/>
            <w:tcBorders>
              <w:top w:val="single" w:color="000000" w:sz="4" w:space="0"/>
              <w:left w:val="single" w:color="000000" w:sz="4" w:space="0"/>
              <w:bottom w:val="single" w:color="000000" w:sz="4" w:space="0"/>
              <w:right w:val="single" w:color="000000" w:sz="4" w:space="0"/>
            </w:tcBorders>
            <w:noWrap/>
            <w:vAlign w:val="center"/>
          </w:tcPr>
          <w:p w14:paraId="59CC3494">
            <w:pPr>
              <w:rPr>
                <w:rFonts w:hint="eastAsia" w:ascii="宋体" w:hAnsi="宋体" w:eastAsia="宋体" w:cs="宋体"/>
                <w:sz w:val="22"/>
              </w:rPr>
            </w:pPr>
          </w:p>
        </w:tc>
        <w:tc>
          <w:tcPr>
            <w:tcW w:w="1452" w:type="dxa"/>
            <w:tcBorders>
              <w:top w:val="single" w:color="000000" w:sz="4" w:space="0"/>
              <w:left w:val="single" w:color="000000" w:sz="4" w:space="0"/>
              <w:bottom w:val="single" w:color="000000" w:sz="4" w:space="0"/>
              <w:right w:val="single" w:color="000000" w:sz="8" w:space="0"/>
            </w:tcBorders>
            <w:vAlign w:val="center"/>
          </w:tcPr>
          <w:p w14:paraId="0A0A07EE">
            <w:pPr>
              <w:jc w:val="left"/>
              <w:rPr>
                <w:rFonts w:hint="eastAsia" w:ascii="宋体" w:hAnsi="宋体" w:eastAsia="宋体" w:cs="宋体"/>
                <w:sz w:val="20"/>
                <w:szCs w:val="20"/>
              </w:rPr>
            </w:pPr>
          </w:p>
        </w:tc>
        <w:tc>
          <w:tcPr>
            <w:tcW w:w="689" w:type="dxa"/>
            <w:tcBorders>
              <w:top w:val="single" w:color="000000" w:sz="4" w:space="0"/>
              <w:left w:val="nil"/>
              <w:bottom w:val="single" w:color="000000" w:sz="4" w:space="0"/>
              <w:right w:val="single" w:color="000000" w:sz="4" w:space="0"/>
            </w:tcBorders>
            <w:vAlign w:val="center"/>
          </w:tcPr>
          <w:p w14:paraId="3DDEFA19">
            <w:pPr>
              <w:jc w:val="center"/>
              <w:rPr>
                <w:rFonts w:hint="eastAsia" w:ascii="宋体" w:hAnsi="宋体" w:eastAsia="宋体" w:cs="宋体"/>
                <w:sz w:val="20"/>
                <w:szCs w:val="20"/>
              </w:rPr>
            </w:pPr>
          </w:p>
        </w:tc>
        <w:tc>
          <w:tcPr>
            <w:tcW w:w="689" w:type="dxa"/>
            <w:tcBorders>
              <w:top w:val="single" w:color="000000" w:sz="4" w:space="0"/>
              <w:left w:val="single" w:color="000000" w:sz="4" w:space="0"/>
              <w:bottom w:val="single" w:color="000000" w:sz="4" w:space="0"/>
              <w:right w:val="single" w:color="000000" w:sz="4" w:space="0"/>
            </w:tcBorders>
            <w:noWrap/>
            <w:vAlign w:val="center"/>
          </w:tcPr>
          <w:p w14:paraId="2E2D533F">
            <w:pPr>
              <w:jc w:val="center"/>
              <w:rPr>
                <w:rFonts w:hint="eastAsia" w:ascii="宋体" w:hAnsi="宋体" w:eastAsia="宋体" w:cs="宋体"/>
                <w:sz w:val="20"/>
                <w:szCs w:val="20"/>
              </w:rPr>
            </w:pPr>
          </w:p>
        </w:tc>
        <w:tc>
          <w:tcPr>
            <w:tcW w:w="1199" w:type="dxa"/>
            <w:tcBorders>
              <w:top w:val="single" w:color="000000" w:sz="4" w:space="0"/>
              <w:left w:val="single" w:color="000000" w:sz="4" w:space="0"/>
              <w:bottom w:val="single" w:color="000000" w:sz="4" w:space="0"/>
              <w:right w:val="single" w:color="000000" w:sz="8" w:space="0"/>
            </w:tcBorders>
            <w:noWrap/>
            <w:vAlign w:val="center"/>
          </w:tcPr>
          <w:p w14:paraId="1BDF5A47">
            <w:pPr>
              <w:jc w:val="center"/>
              <w:rPr>
                <w:rFonts w:hint="eastAsia" w:ascii="宋体" w:hAnsi="宋体" w:eastAsia="宋体" w:cs="宋体"/>
                <w:sz w:val="20"/>
                <w:szCs w:val="20"/>
              </w:rPr>
            </w:pPr>
          </w:p>
        </w:tc>
      </w:tr>
      <w:tr w14:paraId="69BC1933">
        <w:tblPrEx>
          <w:tblCellMar>
            <w:top w:w="0" w:type="dxa"/>
            <w:left w:w="108" w:type="dxa"/>
            <w:bottom w:w="0" w:type="dxa"/>
            <w:right w:w="108" w:type="dxa"/>
          </w:tblCellMar>
        </w:tblPrEx>
        <w:trPr>
          <w:trHeight w:val="702" w:hRule="atLeast"/>
        </w:trPr>
        <w:tc>
          <w:tcPr>
            <w:tcW w:w="417" w:type="dxa"/>
            <w:tcBorders>
              <w:top w:val="single" w:color="000000" w:sz="4" w:space="0"/>
              <w:left w:val="single" w:color="000000" w:sz="8" w:space="0"/>
              <w:bottom w:val="single" w:color="000000" w:sz="4" w:space="0"/>
              <w:right w:val="single" w:color="000000" w:sz="4" w:space="0"/>
            </w:tcBorders>
            <w:vAlign w:val="center"/>
          </w:tcPr>
          <w:p w14:paraId="56E9B222">
            <w:pPr>
              <w:widowControl/>
              <w:jc w:val="center"/>
              <w:textAlignment w:val="center"/>
              <w:rPr>
                <w:rFonts w:hint="eastAsia" w:ascii="宋体" w:hAnsi="宋体" w:eastAsia="宋体" w:cs="宋体"/>
                <w:sz w:val="20"/>
                <w:szCs w:val="20"/>
              </w:rPr>
            </w:pPr>
            <w:r>
              <w:rPr>
                <w:rFonts w:hint="eastAsia" w:ascii="宋体" w:hAnsi="宋体" w:eastAsia="宋体" w:cs="宋体"/>
                <w:kern w:val="0"/>
                <w:sz w:val="20"/>
                <w:szCs w:val="20"/>
              </w:rPr>
              <w:t>2</w:t>
            </w:r>
          </w:p>
        </w:tc>
        <w:tc>
          <w:tcPr>
            <w:tcW w:w="662" w:type="dxa"/>
            <w:tcBorders>
              <w:top w:val="single" w:color="000000" w:sz="4" w:space="0"/>
              <w:left w:val="single" w:color="000000" w:sz="4" w:space="0"/>
              <w:bottom w:val="single" w:color="000000" w:sz="4" w:space="0"/>
              <w:right w:val="single" w:color="000000" w:sz="4" w:space="0"/>
            </w:tcBorders>
            <w:vAlign w:val="center"/>
          </w:tcPr>
          <w:p w14:paraId="5E63B4C4">
            <w:pPr>
              <w:jc w:val="center"/>
              <w:rPr>
                <w:rFonts w:hint="eastAsia" w:ascii="宋体" w:hAnsi="宋体" w:eastAsia="宋体" w:cs="宋体"/>
                <w:sz w:val="20"/>
                <w:szCs w:val="20"/>
              </w:rPr>
            </w:pPr>
          </w:p>
        </w:tc>
        <w:tc>
          <w:tcPr>
            <w:tcW w:w="1066" w:type="dxa"/>
            <w:tcBorders>
              <w:top w:val="single" w:color="000000" w:sz="4" w:space="0"/>
              <w:left w:val="single" w:color="000000" w:sz="4" w:space="0"/>
              <w:bottom w:val="single" w:color="000000" w:sz="4" w:space="0"/>
              <w:right w:val="single" w:color="000000" w:sz="4" w:space="0"/>
            </w:tcBorders>
            <w:vAlign w:val="center"/>
          </w:tcPr>
          <w:p w14:paraId="321AAB0E">
            <w:pPr>
              <w:rPr>
                <w:rFonts w:hint="eastAsia" w:ascii="宋体" w:hAnsi="宋体" w:eastAsia="宋体" w:cs="宋体"/>
                <w:sz w:val="20"/>
                <w:szCs w:val="20"/>
              </w:rPr>
            </w:pPr>
          </w:p>
        </w:tc>
        <w:tc>
          <w:tcPr>
            <w:tcW w:w="1080" w:type="dxa"/>
            <w:gridSpan w:val="2"/>
            <w:tcBorders>
              <w:top w:val="single" w:color="000000" w:sz="4" w:space="0"/>
              <w:left w:val="single" w:color="000000" w:sz="4" w:space="0"/>
              <w:bottom w:val="single" w:color="000000" w:sz="4" w:space="0"/>
              <w:right w:val="nil"/>
            </w:tcBorders>
            <w:vAlign w:val="center"/>
          </w:tcPr>
          <w:p w14:paraId="4421087C">
            <w:pPr>
              <w:rPr>
                <w:rFonts w:hint="eastAsia" w:ascii="宋体" w:hAnsi="宋体" w:eastAsia="宋体" w:cs="宋体"/>
                <w:sz w:val="20"/>
                <w:szCs w:val="20"/>
              </w:rPr>
            </w:pPr>
          </w:p>
        </w:tc>
        <w:tc>
          <w:tcPr>
            <w:tcW w:w="927" w:type="dxa"/>
            <w:tcBorders>
              <w:top w:val="single" w:color="000000" w:sz="4" w:space="0"/>
              <w:left w:val="single" w:color="000000" w:sz="8" w:space="0"/>
              <w:bottom w:val="single" w:color="000000" w:sz="4" w:space="0"/>
              <w:right w:val="single" w:color="000000" w:sz="4" w:space="0"/>
            </w:tcBorders>
            <w:vAlign w:val="center"/>
          </w:tcPr>
          <w:p w14:paraId="424F5311">
            <w:pPr>
              <w:jc w:val="center"/>
              <w:rPr>
                <w:rFonts w:hint="eastAsia" w:ascii="宋体" w:hAnsi="宋体" w:eastAsia="宋体" w:cs="宋体"/>
                <w:b/>
                <w:bCs/>
                <w:sz w:val="20"/>
                <w:szCs w:val="20"/>
              </w:rPr>
            </w:pPr>
          </w:p>
        </w:tc>
        <w:tc>
          <w:tcPr>
            <w:tcW w:w="868" w:type="dxa"/>
            <w:tcBorders>
              <w:top w:val="single" w:color="000000" w:sz="4" w:space="0"/>
              <w:left w:val="single" w:color="000000" w:sz="4" w:space="0"/>
              <w:bottom w:val="single" w:color="000000" w:sz="4" w:space="0"/>
              <w:right w:val="nil"/>
            </w:tcBorders>
            <w:vAlign w:val="center"/>
          </w:tcPr>
          <w:p w14:paraId="78327ABB">
            <w:pPr>
              <w:jc w:val="center"/>
              <w:rPr>
                <w:rFonts w:hint="eastAsia" w:ascii="宋体" w:hAnsi="宋体" w:eastAsia="宋体" w:cs="宋体"/>
                <w:b/>
                <w:bCs/>
                <w:sz w:val="20"/>
                <w:szCs w:val="20"/>
              </w:rPr>
            </w:pPr>
          </w:p>
        </w:tc>
        <w:tc>
          <w:tcPr>
            <w:tcW w:w="700" w:type="dxa"/>
            <w:tcBorders>
              <w:top w:val="single" w:color="000000" w:sz="4" w:space="0"/>
              <w:left w:val="single" w:color="000000" w:sz="8" w:space="0"/>
              <w:bottom w:val="single" w:color="000000" w:sz="4" w:space="0"/>
              <w:right w:val="single" w:color="000000" w:sz="4" w:space="0"/>
            </w:tcBorders>
            <w:vAlign w:val="center"/>
          </w:tcPr>
          <w:p w14:paraId="439B43AE">
            <w:pPr>
              <w:jc w:val="center"/>
              <w:rPr>
                <w:rFonts w:hint="eastAsia" w:ascii="宋体" w:hAnsi="宋体" w:eastAsia="宋体" w:cs="宋体"/>
                <w:b/>
                <w:bCs/>
                <w:sz w:val="20"/>
                <w:szCs w:val="20"/>
              </w:rPr>
            </w:pPr>
          </w:p>
        </w:tc>
        <w:tc>
          <w:tcPr>
            <w:tcW w:w="680" w:type="dxa"/>
            <w:tcBorders>
              <w:top w:val="single" w:color="000000" w:sz="4" w:space="0"/>
              <w:left w:val="single" w:color="000000" w:sz="4" w:space="0"/>
              <w:bottom w:val="single" w:color="000000" w:sz="4" w:space="0"/>
              <w:right w:val="single" w:color="000000" w:sz="4" w:space="0"/>
            </w:tcBorders>
            <w:noWrap/>
            <w:vAlign w:val="center"/>
          </w:tcPr>
          <w:p w14:paraId="36804BD8">
            <w:pPr>
              <w:rPr>
                <w:rFonts w:hint="eastAsia" w:ascii="宋体" w:hAnsi="宋体" w:eastAsia="宋体" w:cs="宋体"/>
                <w:sz w:val="22"/>
              </w:rPr>
            </w:pPr>
          </w:p>
        </w:tc>
        <w:tc>
          <w:tcPr>
            <w:tcW w:w="1452" w:type="dxa"/>
            <w:tcBorders>
              <w:top w:val="single" w:color="000000" w:sz="4" w:space="0"/>
              <w:left w:val="single" w:color="000000" w:sz="4" w:space="0"/>
              <w:bottom w:val="single" w:color="000000" w:sz="4" w:space="0"/>
              <w:right w:val="single" w:color="000000" w:sz="8" w:space="0"/>
            </w:tcBorders>
            <w:vAlign w:val="center"/>
          </w:tcPr>
          <w:p w14:paraId="72EA6AF1">
            <w:pPr>
              <w:jc w:val="left"/>
              <w:rPr>
                <w:rFonts w:hint="eastAsia" w:ascii="宋体" w:hAnsi="宋体" w:eastAsia="宋体" w:cs="宋体"/>
                <w:sz w:val="20"/>
                <w:szCs w:val="20"/>
              </w:rPr>
            </w:pPr>
          </w:p>
        </w:tc>
        <w:tc>
          <w:tcPr>
            <w:tcW w:w="689" w:type="dxa"/>
            <w:tcBorders>
              <w:top w:val="single" w:color="000000" w:sz="4" w:space="0"/>
              <w:left w:val="nil"/>
              <w:bottom w:val="single" w:color="000000" w:sz="4" w:space="0"/>
              <w:right w:val="single" w:color="000000" w:sz="4" w:space="0"/>
            </w:tcBorders>
            <w:vAlign w:val="center"/>
          </w:tcPr>
          <w:p w14:paraId="261598B6">
            <w:pPr>
              <w:jc w:val="center"/>
              <w:rPr>
                <w:rFonts w:hint="eastAsia" w:ascii="宋体" w:hAnsi="宋体" w:eastAsia="宋体" w:cs="宋体"/>
                <w:sz w:val="20"/>
                <w:szCs w:val="20"/>
              </w:rPr>
            </w:pPr>
          </w:p>
        </w:tc>
        <w:tc>
          <w:tcPr>
            <w:tcW w:w="689" w:type="dxa"/>
            <w:tcBorders>
              <w:top w:val="single" w:color="000000" w:sz="4" w:space="0"/>
              <w:left w:val="single" w:color="000000" w:sz="4" w:space="0"/>
              <w:bottom w:val="single" w:color="000000" w:sz="4" w:space="0"/>
              <w:right w:val="single" w:color="000000" w:sz="4" w:space="0"/>
            </w:tcBorders>
            <w:noWrap/>
            <w:vAlign w:val="center"/>
          </w:tcPr>
          <w:p w14:paraId="25904D05">
            <w:pPr>
              <w:jc w:val="center"/>
              <w:rPr>
                <w:rFonts w:hint="eastAsia" w:ascii="宋体" w:hAnsi="宋体" w:eastAsia="宋体" w:cs="宋体"/>
                <w:sz w:val="20"/>
                <w:szCs w:val="20"/>
              </w:rPr>
            </w:pPr>
          </w:p>
        </w:tc>
        <w:tc>
          <w:tcPr>
            <w:tcW w:w="1199" w:type="dxa"/>
            <w:tcBorders>
              <w:top w:val="single" w:color="000000" w:sz="4" w:space="0"/>
              <w:left w:val="single" w:color="000000" w:sz="4" w:space="0"/>
              <w:bottom w:val="single" w:color="000000" w:sz="4" w:space="0"/>
              <w:right w:val="single" w:color="000000" w:sz="8" w:space="0"/>
            </w:tcBorders>
            <w:noWrap/>
            <w:vAlign w:val="center"/>
          </w:tcPr>
          <w:p w14:paraId="2BE7768F">
            <w:pPr>
              <w:jc w:val="center"/>
              <w:rPr>
                <w:rFonts w:hint="eastAsia" w:ascii="宋体" w:hAnsi="宋体" w:eastAsia="宋体" w:cs="宋体"/>
                <w:sz w:val="20"/>
                <w:szCs w:val="20"/>
              </w:rPr>
            </w:pPr>
          </w:p>
        </w:tc>
      </w:tr>
      <w:tr w14:paraId="6B869A6C">
        <w:tblPrEx>
          <w:tblCellMar>
            <w:top w:w="0" w:type="dxa"/>
            <w:left w:w="108" w:type="dxa"/>
            <w:bottom w:w="0" w:type="dxa"/>
            <w:right w:w="108" w:type="dxa"/>
          </w:tblCellMar>
        </w:tblPrEx>
        <w:trPr>
          <w:trHeight w:val="702" w:hRule="atLeast"/>
        </w:trPr>
        <w:tc>
          <w:tcPr>
            <w:tcW w:w="417" w:type="dxa"/>
            <w:tcBorders>
              <w:top w:val="single" w:color="000000" w:sz="4" w:space="0"/>
              <w:left w:val="single" w:color="000000" w:sz="8" w:space="0"/>
              <w:bottom w:val="nil"/>
              <w:right w:val="single" w:color="000000" w:sz="4" w:space="0"/>
            </w:tcBorders>
            <w:vAlign w:val="center"/>
          </w:tcPr>
          <w:p w14:paraId="701F9DC7">
            <w:pPr>
              <w:widowControl/>
              <w:jc w:val="center"/>
              <w:textAlignment w:val="center"/>
              <w:rPr>
                <w:rFonts w:hint="eastAsia" w:ascii="宋体" w:hAnsi="宋体" w:eastAsia="宋体" w:cs="宋体"/>
                <w:sz w:val="20"/>
                <w:szCs w:val="20"/>
              </w:rPr>
            </w:pPr>
            <w:r>
              <w:rPr>
                <w:rFonts w:hint="eastAsia" w:ascii="宋体" w:hAnsi="宋体" w:eastAsia="宋体" w:cs="宋体"/>
                <w:kern w:val="0"/>
                <w:sz w:val="20"/>
                <w:szCs w:val="20"/>
              </w:rPr>
              <w:t>3</w:t>
            </w:r>
          </w:p>
        </w:tc>
        <w:tc>
          <w:tcPr>
            <w:tcW w:w="662" w:type="dxa"/>
            <w:tcBorders>
              <w:top w:val="single" w:color="000000" w:sz="4" w:space="0"/>
              <w:left w:val="single" w:color="000000" w:sz="4" w:space="0"/>
              <w:bottom w:val="nil"/>
              <w:right w:val="single" w:color="000000" w:sz="4" w:space="0"/>
            </w:tcBorders>
            <w:vAlign w:val="center"/>
          </w:tcPr>
          <w:p w14:paraId="07F4DCD9">
            <w:pPr>
              <w:jc w:val="center"/>
              <w:rPr>
                <w:rFonts w:hint="eastAsia" w:ascii="宋体" w:hAnsi="宋体" w:eastAsia="宋体" w:cs="宋体"/>
                <w:sz w:val="20"/>
                <w:szCs w:val="20"/>
              </w:rPr>
            </w:pPr>
          </w:p>
        </w:tc>
        <w:tc>
          <w:tcPr>
            <w:tcW w:w="1066" w:type="dxa"/>
            <w:tcBorders>
              <w:top w:val="single" w:color="000000" w:sz="4" w:space="0"/>
              <w:left w:val="single" w:color="000000" w:sz="4" w:space="0"/>
              <w:bottom w:val="nil"/>
              <w:right w:val="single" w:color="000000" w:sz="4" w:space="0"/>
            </w:tcBorders>
            <w:vAlign w:val="center"/>
          </w:tcPr>
          <w:p w14:paraId="57C9268E">
            <w:pPr>
              <w:rPr>
                <w:rFonts w:hint="eastAsia" w:ascii="宋体" w:hAnsi="宋体" w:eastAsia="宋体" w:cs="宋体"/>
                <w:sz w:val="20"/>
                <w:szCs w:val="20"/>
              </w:rPr>
            </w:pPr>
          </w:p>
        </w:tc>
        <w:tc>
          <w:tcPr>
            <w:tcW w:w="1080" w:type="dxa"/>
            <w:gridSpan w:val="2"/>
            <w:tcBorders>
              <w:top w:val="single" w:color="000000" w:sz="4" w:space="0"/>
              <w:left w:val="single" w:color="000000" w:sz="4" w:space="0"/>
              <w:bottom w:val="nil"/>
              <w:right w:val="nil"/>
            </w:tcBorders>
            <w:vAlign w:val="center"/>
          </w:tcPr>
          <w:p w14:paraId="5AD8F87D">
            <w:pPr>
              <w:rPr>
                <w:rFonts w:hint="eastAsia" w:ascii="宋体" w:hAnsi="宋体" w:eastAsia="宋体" w:cs="宋体"/>
                <w:sz w:val="20"/>
                <w:szCs w:val="20"/>
              </w:rPr>
            </w:pPr>
          </w:p>
        </w:tc>
        <w:tc>
          <w:tcPr>
            <w:tcW w:w="927" w:type="dxa"/>
            <w:tcBorders>
              <w:top w:val="single" w:color="000000" w:sz="4" w:space="0"/>
              <w:left w:val="single" w:color="000000" w:sz="8" w:space="0"/>
              <w:bottom w:val="nil"/>
              <w:right w:val="single" w:color="000000" w:sz="4" w:space="0"/>
            </w:tcBorders>
            <w:vAlign w:val="center"/>
          </w:tcPr>
          <w:p w14:paraId="50C1CA9F">
            <w:pPr>
              <w:jc w:val="center"/>
              <w:rPr>
                <w:rFonts w:hint="eastAsia" w:ascii="宋体" w:hAnsi="宋体" w:eastAsia="宋体" w:cs="宋体"/>
                <w:b/>
                <w:bCs/>
                <w:sz w:val="20"/>
                <w:szCs w:val="20"/>
              </w:rPr>
            </w:pPr>
          </w:p>
        </w:tc>
        <w:tc>
          <w:tcPr>
            <w:tcW w:w="868" w:type="dxa"/>
            <w:tcBorders>
              <w:top w:val="single" w:color="000000" w:sz="4" w:space="0"/>
              <w:left w:val="single" w:color="000000" w:sz="4" w:space="0"/>
              <w:bottom w:val="nil"/>
              <w:right w:val="nil"/>
            </w:tcBorders>
            <w:vAlign w:val="center"/>
          </w:tcPr>
          <w:p w14:paraId="35870F3A">
            <w:pPr>
              <w:jc w:val="center"/>
              <w:rPr>
                <w:rFonts w:hint="eastAsia" w:ascii="宋体" w:hAnsi="宋体" w:eastAsia="宋体" w:cs="宋体"/>
                <w:b/>
                <w:bCs/>
                <w:sz w:val="20"/>
                <w:szCs w:val="20"/>
              </w:rPr>
            </w:pPr>
          </w:p>
        </w:tc>
        <w:tc>
          <w:tcPr>
            <w:tcW w:w="700" w:type="dxa"/>
            <w:tcBorders>
              <w:top w:val="single" w:color="000000" w:sz="4" w:space="0"/>
              <w:left w:val="single" w:color="000000" w:sz="8" w:space="0"/>
              <w:bottom w:val="single" w:color="000000" w:sz="4" w:space="0"/>
              <w:right w:val="single" w:color="000000" w:sz="4" w:space="0"/>
            </w:tcBorders>
            <w:vAlign w:val="center"/>
          </w:tcPr>
          <w:p w14:paraId="195FF944">
            <w:pPr>
              <w:jc w:val="center"/>
              <w:rPr>
                <w:rFonts w:hint="eastAsia" w:ascii="宋体" w:hAnsi="宋体" w:eastAsia="宋体" w:cs="宋体"/>
                <w:b/>
                <w:bCs/>
                <w:sz w:val="20"/>
                <w:szCs w:val="20"/>
              </w:rPr>
            </w:pPr>
          </w:p>
        </w:tc>
        <w:tc>
          <w:tcPr>
            <w:tcW w:w="680" w:type="dxa"/>
            <w:tcBorders>
              <w:top w:val="single" w:color="000000" w:sz="4" w:space="0"/>
              <w:left w:val="single" w:color="000000" w:sz="4" w:space="0"/>
              <w:bottom w:val="single" w:color="000000" w:sz="4" w:space="0"/>
              <w:right w:val="single" w:color="000000" w:sz="4" w:space="0"/>
            </w:tcBorders>
            <w:noWrap/>
            <w:vAlign w:val="center"/>
          </w:tcPr>
          <w:p w14:paraId="11EA6D56">
            <w:pPr>
              <w:rPr>
                <w:rFonts w:hint="eastAsia" w:ascii="宋体" w:hAnsi="宋体" w:eastAsia="宋体" w:cs="宋体"/>
                <w:sz w:val="22"/>
              </w:rPr>
            </w:pPr>
          </w:p>
        </w:tc>
        <w:tc>
          <w:tcPr>
            <w:tcW w:w="1452" w:type="dxa"/>
            <w:tcBorders>
              <w:top w:val="single" w:color="000000" w:sz="4" w:space="0"/>
              <w:left w:val="single" w:color="000000" w:sz="4" w:space="0"/>
              <w:bottom w:val="single" w:color="000000" w:sz="4" w:space="0"/>
              <w:right w:val="single" w:color="000000" w:sz="8" w:space="0"/>
            </w:tcBorders>
            <w:vAlign w:val="center"/>
          </w:tcPr>
          <w:p w14:paraId="69714898">
            <w:pPr>
              <w:jc w:val="left"/>
              <w:rPr>
                <w:rFonts w:hint="eastAsia" w:ascii="宋体" w:hAnsi="宋体" w:eastAsia="宋体" w:cs="宋体"/>
                <w:sz w:val="20"/>
                <w:szCs w:val="20"/>
              </w:rPr>
            </w:pPr>
          </w:p>
        </w:tc>
        <w:tc>
          <w:tcPr>
            <w:tcW w:w="689" w:type="dxa"/>
            <w:tcBorders>
              <w:top w:val="single" w:color="000000" w:sz="4" w:space="0"/>
              <w:left w:val="nil"/>
              <w:bottom w:val="single" w:color="000000" w:sz="4" w:space="0"/>
              <w:right w:val="single" w:color="000000" w:sz="4" w:space="0"/>
            </w:tcBorders>
            <w:vAlign w:val="center"/>
          </w:tcPr>
          <w:p w14:paraId="39FACC95">
            <w:pPr>
              <w:jc w:val="center"/>
              <w:rPr>
                <w:rFonts w:hint="eastAsia" w:ascii="宋体" w:hAnsi="宋体" w:eastAsia="宋体" w:cs="宋体"/>
                <w:sz w:val="20"/>
                <w:szCs w:val="20"/>
              </w:rPr>
            </w:pPr>
          </w:p>
        </w:tc>
        <w:tc>
          <w:tcPr>
            <w:tcW w:w="689" w:type="dxa"/>
            <w:tcBorders>
              <w:top w:val="single" w:color="000000" w:sz="4" w:space="0"/>
              <w:left w:val="single" w:color="000000" w:sz="4" w:space="0"/>
              <w:bottom w:val="single" w:color="000000" w:sz="4" w:space="0"/>
              <w:right w:val="single" w:color="000000" w:sz="4" w:space="0"/>
            </w:tcBorders>
            <w:noWrap/>
            <w:vAlign w:val="center"/>
          </w:tcPr>
          <w:p w14:paraId="6587300A">
            <w:pPr>
              <w:jc w:val="center"/>
              <w:rPr>
                <w:rFonts w:hint="eastAsia" w:ascii="宋体" w:hAnsi="宋体" w:eastAsia="宋体" w:cs="宋体"/>
                <w:sz w:val="20"/>
                <w:szCs w:val="20"/>
              </w:rPr>
            </w:pPr>
          </w:p>
        </w:tc>
        <w:tc>
          <w:tcPr>
            <w:tcW w:w="1199" w:type="dxa"/>
            <w:tcBorders>
              <w:top w:val="single" w:color="000000" w:sz="4" w:space="0"/>
              <w:left w:val="single" w:color="000000" w:sz="4" w:space="0"/>
              <w:bottom w:val="single" w:color="000000" w:sz="4" w:space="0"/>
              <w:right w:val="single" w:color="000000" w:sz="8" w:space="0"/>
            </w:tcBorders>
            <w:noWrap/>
            <w:vAlign w:val="center"/>
          </w:tcPr>
          <w:p w14:paraId="0E4AED84">
            <w:pPr>
              <w:jc w:val="center"/>
              <w:rPr>
                <w:rFonts w:hint="eastAsia" w:ascii="宋体" w:hAnsi="宋体" w:eastAsia="宋体" w:cs="宋体"/>
                <w:sz w:val="20"/>
                <w:szCs w:val="20"/>
              </w:rPr>
            </w:pPr>
          </w:p>
        </w:tc>
      </w:tr>
      <w:tr w14:paraId="279BEC7B">
        <w:tblPrEx>
          <w:tblCellMar>
            <w:top w:w="0" w:type="dxa"/>
            <w:left w:w="108" w:type="dxa"/>
            <w:bottom w:w="0" w:type="dxa"/>
            <w:right w:w="108" w:type="dxa"/>
          </w:tblCellMar>
        </w:tblPrEx>
        <w:trPr>
          <w:trHeight w:val="285" w:hRule="atLeast"/>
        </w:trPr>
        <w:tc>
          <w:tcPr>
            <w:tcW w:w="5020" w:type="dxa"/>
            <w:gridSpan w:val="7"/>
            <w:tcBorders>
              <w:top w:val="single" w:color="000000" w:sz="8" w:space="0"/>
              <w:left w:val="single" w:color="000000" w:sz="8" w:space="0"/>
              <w:bottom w:val="single" w:color="000000" w:sz="8" w:space="0"/>
              <w:right w:val="single" w:color="000000" w:sz="8" w:space="0"/>
            </w:tcBorders>
            <w:noWrap/>
            <w:vAlign w:val="center"/>
          </w:tcPr>
          <w:p w14:paraId="25DF074A">
            <w:pPr>
              <w:widowControl/>
              <w:jc w:val="center"/>
              <w:textAlignment w:val="center"/>
              <w:rPr>
                <w:rFonts w:hint="eastAsia" w:ascii="宋体" w:hAnsi="宋体" w:eastAsia="宋体" w:cs="宋体"/>
                <w:sz w:val="22"/>
              </w:rPr>
            </w:pPr>
            <w:r>
              <w:rPr>
                <w:rFonts w:hint="eastAsia" w:ascii="宋体" w:hAnsi="宋体" w:eastAsia="宋体" w:cs="宋体"/>
                <w:kern w:val="0"/>
                <w:sz w:val="22"/>
              </w:rPr>
              <w:t>小计</w:t>
            </w:r>
          </w:p>
        </w:tc>
        <w:tc>
          <w:tcPr>
            <w:tcW w:w="700" w:type="dxa"/>
            <w:tcBorders>
              <w:top w:val="single" w:color="000000" w:sz="4" w:space="0"/>
              <w:left w:val="single" w:color="000000" w:sz="8" w:space="0"/>
              <w:bottom w:val="single" w:color="000000" w:sz="8" w:space="0"/>
              <w:right w:val="single" w:color="000000" w:sz="4" w:space="0"/>
            </w:tcBorders>
            <w:noWrap/>
            <w:vAlign w:val="center"/>
          </w:tcPr>
          <w:p w14:paraId="782764A4">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rPr>
              <w:t>1</w:t>
            </w:r>
          </w:p>
        </w:tc>
        <w:tc>
          <w:tcPr>
            <w:tcW w:w="680" w:type="dxa"/>
            <w:tcBorders>
              <w:top w:val="single" w:color="000000" w:sz="4" w:space="0"/>
              <w:left w:val="single" w:color="000000" w:sz="4" w:space="0"/>
              <w:bottom w:val="single" w:color="000000" w:sz="8" w:space="0"/>
              <w:right w:val="single" w:color="000000" w:sz="4" w:space="0"/>
            </w:tcBorders>
            <w:noWrap/>
            <w:vAlign w:val="center"/>
          </w:tcPr>
          <w:p w14:paraId="1A4CE1B7">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rPr>
              <w:t>0</w:t>
            </w:r>
          </w:p>
        </w:tc>
        <w:tc>
          <w:tcPr>
            <w:tcW w:w="1452" w:type="dxa"/>
            <w:tcBorders>
              <w:top w:val="single" w:color="000000" w:sz="4" w:space="0"/>
              <w:left w:val="single" w:color="000000" w:sz="4" w:space="0"/>
              <w:bottom w:val="single" w:color="000000" w:sz="8" w:space="0"/>
              <w:right w:val="single" w:color="000000" w:sz="8" w:space="0"/>
            </w:tcBorders>
            <w:noWrap/>
            <w:vAlign w:val="center"/>
          </w:tcPr>
          <w:p w14:paraId="127BDFF5">
            <w:pPr>
              <w:jc w:val="center"/>
              <w:rPr>
                <w:rFonts w:hint="eastAsia" w:ascii="宋体" w:hAnsi="宋体" w:eastAsia="宋体" w:cs="宋体"/>
                <w:sz w:val="22"/>
              </w:rPr>
            </w:pPr>
          </w:p>
        </w:tc>
        <w:tc>
          <w:tcPr>
            <w:tcW w:w="689" w:type="dxa"/>
            <w:tcBorders>
              <w:top w:val="single" w:color="000000" w:sz="4" w:space="0"/>
              <w:left w:val="nil"/>
              <w:bottom w:val="nil"/>
              <w:right w:val="single" w:color="000000" w:sz="4" w:space="0"/>
            </w:tcBorders>
            <w:noWrap/>
            <w:vAlign w:val="center"/>
          </w:tcPr>
          <w:p w14:paraId="354B6F81">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rPr>
              <w:t>1</w:t>
            </w:r>
          </w:p>
        </w:tc>
        <w:tc>
          <w:tcPr>
            <w:tcW w:w="689" w:type="dxa"/>
            <w:tcBorders>
              <w:top w:val="single" w:color="000000" w:sz="4" w:space="0"/>
              <w:left w:val="single" w:color="000000" w:sz="4" w:space="0"/>
              <w:bottom w:val="nil"/>
              <w:right w:val="single" w:color="000000" w:sz="4" w:space="0"/>
            </w:tcBorders>
            <w:noWrap/>
            <w:vAlign w:val="center"/>
          </w:tcPr>
          <w:p w14:paraId="2A0175DE">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rPr>
              <w:t>0</w:t>
            </w:r>
          </w:p>
        </w:tc>
        <w:tc>
          <w:tcPr>
            <w:tcW w:w="1199" w:type="dxa"/>
            <w:tcBorders>
              <w:top w:val="single" w:color="000000" w:sz="4" w:space="0"/>
              <w:left w:val="single" w:color="000000" w:sz="4" w:space="0"/>
              <w:bottom w:val="nil"/>
              <w:right w:val="single" w:color="000000" w:sz="8" w:space="0"/>
            </w:tcBorders>
            <w:noWrap/>
            <w:vAlign w:val="center"/>
          </w:tcPr>
          <w:p w14:paraId="15137C80">
            <w:pPr>
              <w:jc w:val="center"/>
              <w:rPr>
                <w:rFonts w:hint="eastAsia" w:ascii="宋体" w:hAnsi="宋体" w:eastAsia="宋体" w:cs="宋体"/>
                <w:sz w:val="22"/>
              </w:rPr>
            </w:pPr>
          </w:p>
        </w:tc>
      </w:tr>
      <w:tr w14:paraId="5B105A6B">
        <w:tblPrEx>
          <w:tblCellMar>
            <w:top w:w="0" w:type="dxa"/>
            <w:left w:w="108" w:type="dxa"/>
            <w:bottom w:w="0" w:type="dxa"/>
            <w:right w:w="108" w:type="dxa"/>
          </w:tblCellMar>
        </w:tblPrEx>
        <w:trPr>
          <w:trHeight w:val="510" w:hRule="atLeast"/>
        </w:trPr>
        <w:tc>
          <w:tcPr>
            <w:tcW w:w="5020" w:type="dxa"/>
            <w:gridSpan w:val="7"/>
            <w:tcBorders>
              <w:top w:val="nil"/>
              <w:left w:val="single" w:color="000000" w:sz="8" w:space="0"/>
              <w:bottom w:val="single" w:color="000000" w:sz="4" w:space="0"/>
              <w:right w:val="nil"/>
            </w:tcBorders>
            <w:noWrap/>
            <w:vAlign w:val="center"/>
          </w:tcPr>
          <w:p w14:paraId="23CBE415">
            <w:pPr>
              <w:widowControl/>
              <w:jc w:val="left"/>
              <w:textAlignment w:val="center"/>
              <w:rPr>
                <w:rFonts w:hint="eastAsia" w:ascii="宋体" w:hAnsi="宋体" w:eastAsia="宋体" w:cs="宋体"/>
                <w:sz w:val="22"/>
              </w:rPr>
            </w:pPr>
            <w:r>
              <w:rPr>
                <w:rFonts w:hint="eastAsia" w:ascii="宋体" w:hAnsi="宋体" w:eastAsia="宋体" w:cs="宋体"/>
                <w:kern w:val="0"/>
                <w:sz w:val="22"/>
              </w:rPr>
              <w:t>咨询单位：xxx有限公司</w:t>
            </w:r>
          </w:p>
        </w:tc>
        <w:tc>
          <w:tcPr>
            <w:tcW w:w="2832" w:type="dxa"/>
            <w:gridSpan w:val="3"/>
            <w:tcBorders>
              <w:top w:val="single" w:color="000000" w:sz="8" w:space="0"/>
              <w:left w:val="single" w:color="000000" w:sz="4" w:space="0"/>
              <w:bottom w:val="single" w:color="000000" w:sz="4" w:space="0"/>
              <w:right w:val="nil"/>
            </w:tcBorders>
            <w:noWrap/>
            <w:vAlign w:val="center"/>
          </w:tcPr>
          <w:p w14:paraId="5FF9B259">
            <w:pPr>
              <w:jc w:val="left"/>
              <w:rPr>
                <w:rFonts w:hint="eastAsia" w:ascii="宋体" w:hAnsi="宋体" w:eastAsia="宋体" w:cs="宋体"/>
                <w:sz w:val="22"/>
              </w:rPr>
            </w:pPr>
            <w:r>
              <w:rPr>
                <w:rFonts w:hint="eastAsia" w:ascii="宋体" w:hAnsi="宋体" w:eastAsia="宋体" w:cs="宋体"/>
                <w:kern w:val="0"/>
                <w:sz w:val="22"/>
              </w:rPr>
              <w:t>设计院：</w:t>
            </w:r>
          </w:p>
        </w:tc>
        <w:tc>
          <w:tcPr>
            <w:tcW w:w="2577" w:type="dxa"/>
            <w:gridSpan w:val="3"/>
            <w:tcBorders>
              <w:top w:val="single" w:color="000000" w:sz="8" w:space="0"/>
              <w:left w:val="single" w:color="000000" w:sz="4" w:space="0"/>
              <w:bottom w:val="single" w:color="000000" w:sz="4" w:space="0"/>
              <w:right w:val="single" w:color="000000" w:sz="4" w:space="0"/>
            </w:tcBorders>
            <w:noWrap/>
            <w:vAlign w:val="center"/>
          </w:tcPr>
          <w:p w14:paraId="093BED6E">
            <w:pPr>
              <w:widowControl/>
              <w:jc w:val="left"/>
              <w:textAlignment w:val="center"/>
              <w:rPr>
                <w:rFonts w:hint="eastAsia" w:ascii="宋体" w:hAnsi="宋体" w:eastAsia="宋体" w:cs="宋体"/>
                <w:sz w:val="22"/>
              </w:rPr>
            </w:pPr>
            <w:r>
              <w:rPr>
                <w:rFonts w:hint="eastAsia" w:ascii="宋体" w:hAnsi="宋体" w:eastAsia="宋体" w:cs="宋体"/>
                <w:kern w:val="0"/>
                <w:sz w:val="22"/>
              </w:rPr>
              <w:t>建设单位：</w:t>
            </w:r>
          </w:p>
        </w:tc>
      </w:tr>
      <w:tr w14:paraId="2C9FFE3D">
        <w:tblPrEx>
          <w:tblCellMar>
            <w:top w:w="0" w:type="dxa"/>
            <w:left w:w="108" w:type="dxa"/>
            <w:bottom w:w="0" w:type="dxa"/>
            <w:right w:w="108" w:type="dxa"/>
          </w:tblCellMar>
        </w:tblPrEx>
        <w:trPr>
          <w:trHeight w:val="510" w:hRule="atLeast"/>
        </w:trPr>
        <w:tc>
          <w:tcPr>
            <w:tcW w:w="2459" w:type="dxa"/>
            <w:gridSpan w:val="4"/>
            <w:tcBorders>
              <w:top w:val="single" w:color="000000" w:sz="4" w:space="0"/>
              <w:left w:val="single" w:color="000000" w:sz="8" w:space="0"/>
              <w:bottom w:val="single" w:color="000000" w:sz="4" w:space="0"/>
              <w:right w:val="single" w:color="000000" w:sz="4" w:space="0"/>
            </w:tcBorders>
            <w:noWrap/>
            <w:vAlign w:val="center"/>
          </w:tcPr>
          <w:p w14:paraId="1D69A353">
            <w:pPr>
              <w:widowControl/>
              <w:jc w:val="left"/>
              <w:textAlignment w:val="center"/>
              <w:rPr>
                <w:rFonts w:hint="eastAsia" w:ascii="宋体" w:hAnsi="宋体" w:eastAsia="宋体" w:cs="宋体"/>
                <w:sz w:val="22"/>
              </w:rPr>
            </w:pPr>
            <w:r>
              <w:rPr>
                <w:rFonts w:hint="eastAsia" w:ascii="宋体" w:hAnsi="宋体" w:eastAsia="宋体" w:cs="宋体"/>
                <w:kern w:val="0"/>
                <w:sz w:val="22"/>
              </w:rPr>
              <w:t xml:space="preserve">咨询师：  </w:t>
            </w:r>
          </w:p>
        </w:tc>
        <w:tc>
          <w:tcPr>
            <w:tcW w:w="2561" w:type="dxa"/>
            <w:gridSpan w:val="3"/>
            <w:tcBorders>
              <w:top w:val="single" w:color="000000" w:sz="4" w:space="0"/>
              <w:left w:val="single" w:color="000000" w:sz="4" w:space="0"/>
              <w:bottom w:val="single" w:color="000000" w:sz="4" w:space="0"/>
              <w:right w:val="nil"/>
            </w:tcBorders>
            <w:noWrap/>
            <w:vAlign w:val="center"/>
          </w:tcPr>
          <w:p w14:paraId="78AB6291">
            <w:pPr>
              <w:widowControl/>
              <w:jc w:val="left"/>
              <w:textAlignment w:val="center"/>
              <w:rPr>
                <w:rFonts w:hint="eastAsia" w:ascii="宋体" w:hAnsi="宋体" w:eastAsia="宋体" w:cs="宋体"/>
                <w:sz w:val="22"/>
              </w:rPr>
            </w:pPr>
            <w:r>
              <w:rPr>
                <w:rFonts w:hint="eastAsia" w:ascii="宋体" w:hAnsi="宋体" w:eastAsia="宋体" w:cs="宋体"/>
                <w:kern w:val="0"/>
                <w:sz w:val="22"/>
              </w:rPr>
              <w:t>电话：8378</w:t>
            </w:r>
          </w:p>
        </w:tc>
        <w:tc>
          <w:tcPr>
            <w:tcW w:w="2832" w:type="dxa"/>
            <w:gridSpan w:val="3"/>
            <w:tcBorders>
              <w:top w:val="single" w:color="000000" w:sz="4" w:space="0"/>
              <w:left w:val="single" w:color="000000" w:sz="4" w:space="0"/>
              <w:bottom w:val="single" w:color="000000" w:sz="4" w:space="0"/>
              <w:right w:val="nil"/>
            </w:tcBorders>
            <w:noWrap/>
            <w:vAlign w:val="center"/>
          </w:tcPr>
          <w:p w14:paraId="61F15673">
            <w:pPr>
              <w:jc w:val="left"/>
              <w:rPr>
                <w:rFonts w:hint="eastAsia" w:ascii="宋体" w:hAnsi="宋体" w:eastAsia="宋体" w:cs="宋体"/>
                <w:sz w:val="22"/>
              </w:rPr>
            </w:pPr>
            <w:r>
              <w:rPr>
                <w:rFonts w:hint="eastAsia" w:ascii="宋体" w:hAnsi="宋体" w:eastAsia="宋体" w:cs="宋体"/>
                <w:kern w:val="0"/>
                <w:sz w:val="22"/>
              </w:rPr>
              <w:t>设计师：</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14:paraId="028E6AB3">
            <w:pPr>
              <w:widowControl/>
              <w:jc w:val="left"/>
              <w:textAlignment w:val="center"/>
              <w:rPr>
                <w:rFonts w:hint="eastAsia" w:ascii="宋体" w:hAnsi="宋体" w:eastAsia="宋体" w:cs="宋体"/>
                <w:sz w:val="20"/>
                <w:szCs w:val="20"/>
              </w:rPr>
            </w:pPr>
            <w:r>
              <w:rPr>
                <w:rFonts w:hint="eastAsia" w:ascii="宋体" w:hAnsi="宋体" w:eastAsia="宋体" w:cs="宋体"/>
                <w:kern w:val="0"/>
                <w:sz w:val="20"/>
                <w:szCs w:val="20"/>
              </w:rPr>
              <w:t>项目负责人：</w:t>
            </w:r>
          </w:p>
        </w:tc>
      </w:tr>
      <w:tr w14:paraId="0D64E1E6">
        <w:tblPrEx>
          <w:tblCellMar>
            <w:top w:w="0" w:type="dxa"/>
            <w:left w:w="108" w:type="dxa"/>
            <w:bottom w:w="0" w:type="dxa"/>
            <w:right w:w="108" w:type="dxa"/>
          </w:tblCellMar>
        </w:tblPrEx>
        <w:trPr>
          <w:trHeight w:val="510" w:hRule="atLeast"/>
        </w:trPr>
        <w:tc>
          <w:tcPr>
            <w:tcW w:w="5020" w:type="dxa"/>
            <w:gridSpan w:val="7"/>
            <w:tcBorders>
              <w:top w:val="single" w:color="000000" w:sz="4" w:space="0"/>
              <w:left w:val="single" w:color="000000" w:sz="8" w:space="0"/>
              <w:bottom w:val="single" w:color="000000" w:sz="8" w:space="0"/>
              <w:right w:val="nil"/>
            </w:tcBorders>
            <w:noWrap/>
            <w:vAlign w:val="center"/>
          </w:tcPr>
          <w:p w14:paraId="10E94042">
            <w:pPr>
              <w:widowControl/>
              <w:jc w:val="left"/>
              <w:textAlignment w:val="center"/>
              <w:rPr>
                <w:rFonts w:hint="eastAsia" w:ascii="宋体" w:hAnsi="宋体" w:eastAsia="宋体" w:cs="宋体"/>
                <w:sz w:val="22"/>
              </w:rPr>
            </w:pPr>
            <w:r>
              <w:rPr>
                <w:rFonts w:hint="eastAsia" w:ascii="宋体" w:hAnsi="宋体" w:eastAsia="宋体" w:cs="宋体"/>
                <w:kern w:val="0"/>
                <w:sz w:val="22"/>
              </w:rPr>
              <w:t>时  间：     年   月   日</w:t>
            </w:r>
          </w:p>
        </w:tc>
        <w:tc>
          <w:tcPr>
            <w:tcW w:w="2832" w:type="dxa"/>
            <w:gridSpan w:val="3"/>
            <w:tcBorders>
              <w:top w:val="single" w:color="000000" w:sz="4" w:space="0"/>
              <w:left w:val="single" w:color="000000" w:sz="4" w:space="0"/>
              <w:bottom w:val="single" w:color="000000" w:sz="8" w:space="0"/>
              <w:right w:val="nil"/>
            </w:tcBorders>
            <w:noWrap/>
            <w:vAlign w:val="center"/>
          </w:tcPr>
          <w:p w14:paraId="5F52E324">
            <w:pPr>
              <w:jc w:val="left"/>
              <w:rPr>
                <w:rFonts w:hint="eastAsia" w:ascii="宋体" w:hAnsi="宋体" w:eastAsia="宋体" w:cs="宋体"/>
                <w:sz w:val="22"/>
              </w:rPr>
            </w:pPr>
            <w:r>
              <w:rPr>
                <w:rFonts w:hint="eastAsia" w:ascii="宋体" w:hAnsi="宋体" w:eastAsia="宋体" w:cs="宋体"/>
                <w:kern w:val="0"/>
                <w:sz w:val="22"/>
              </w:rPr>
              <w:t>时  间：    年   月   日</w:t>
            </w:r>
          </w:p>
        </w:tc>
        <w:tc>
          <w:tcPr>
            <w:tcW w:w="2577" w:type="dxa"/>
            <w:gridSpan w:val="3"/>
            <w:tcBorders>
              <w:top w:val="single" w:color="000000" w:sz="4" w:space="0"/>
              <w:left w:val="single" w:color="000000" w:sz="4" w:space="0"/>
              <w:bottom w:val="single" w:color="000000" w:sz="8" w:space="0"/>
              <w:right w:val="single" w:color="000000" w:sz="4" w:space="0"/>
            </w:tcBorders>
            <w:noWrap/>
            <w:vAlign w:val="center"/>
          </w:tcPr>
          <w:p w14:paraId="09E0BAA4">
            <w:pPr>
              <w:widowControl/>
              <w:jc w:val="left"/>
              <w:textAlignment w:val="center"/>
              <w:rPr>
                <w:rFonts w:hint="eastAsia" w:ascii="宋体" w:hAnsi="宋体" w:eastAsia="宋体" w:cs="宋体"/>
                <w:sz w:val="22"/>
              </w:rPr>
            </w:pPr>
            <w:r>
              <w:rPr>
                <w:rFonts w:hint="eastAsia" w:ascii="宋体" w:hAnsi="宋体" w:eastAsia="宋体" w:cs="宋体"/>
                <w:kern w:val="0"/>
                <w:sz w:val="22"/>
              </w:rPr>
              <w:t>时间：    年   月   日</w:t>
            </w:r>
          </w:p>
        </w:tc>
      </w:tr>
    </w:tbl>
    <w:p w14:paraId="723AF07F">
      <w:pPr>
        <w:spacing w:line="360" w:lineRule="auto"/>
        <w:jc w:val="center"/>
        <w:rPr>
          <w:rFonts w:hint="eastAsia" w:ascii="宋体" w:hAnsi="宋体" w:eastAsia="宋体" w:cs="Times New Roman"/>
          <w:b/>
          <w:sz w:val="32"/>
          <w:szCs w:val="32"/>
        </w:rPr>
      </w:pPr>
      <w:r>
        <w:rPr>
          <w:rFonts w:ascii="宋体" w:hAnsi="宋体" w:eastAsia="宋体" w:cs="Times New Roman"/>
          <w:bCs/>
          <w:sz w:val="32"/>
          <w:szCs w:val="32"/>
        </w:rPr>
        <w:t>xxx项目方案/初步/施工图设计优化咨询意见表</w:t>
      </w:r>
    </w:p>
    <w:p w14:paraId="5A291DF7">
      <w:pPr>
        <w:spacing w:line="360" w:lineRule="auto"/>
        <w:jc w:val="left"/>
        <w:rPr>
          <w:rFonts w:hint="eastAsia" w:ascii="宋体" w:hAnsi="宋体" w:eastAsia="宋体" w:cs="Times New Roman"/>
          <w:b/>
          <w:sz w:val="32"/>
          <w:szCs w:val="32"/>
        </w:rPr>
        <w:sectPr>
          <w:pgSz w:w="11906" w:h="16838"/>
          <w:pgMar w:top="1440" w:right="1800" w:bottom="1440" w:left="1800" w:header="851" w:footer="992" w:gutter="0"/>
          <w:cols w:space="425" w:num="1"/>
          <w:docGrid w:type="lines" w:linePitch="312" w:charSpace="0"/>
        </w:sectPr>
      </w:pPr>
    </w:p>
    <w:p w14:paraId="766F60DF">
      <w:pPr>
        <w:pStyle w:val="2"/>
        <w:rPr>
          <w:rFonts w:hint="eastAsia" w:ascii="宋体" w:hAnsi="宋体" w:eastAsia="宋体" w:cs="Times New Roman"/>
          <w:b/>
          <w:sz w:val="32"/>
          <w:szCs w:val="32"/>
        </w:rPr>
      </w:pPr>
      <w:r>
        <w:rPr>
          <w:rFonts w:hint="eastAsia" w:ascii="宋体" w:hAnsi="宋体" w:eastAsia="宋体" w:cs="Times New Roman"/>
          <w:b/>
          <w:sz w:val="32"/>
          <w:szCs w:val="32"/>
        </w:rPr>
        <w:t>附件5：设计错误分类</w:t>
      </w:r>
    </w:p>
    <w:p w14:paraId="29E44A8B">
      <w:pPr>
        <w:spacing w:line="360" w:lineRule="auto"/>
        <w:jc w:val="center"/>
        <w:rPr>
          <w:rFonts w:hint="eastAsia" w:ascii="宋体" w:hAnsi="宋体" w:eastAsia="宋体" w:cs="Times New Roman"/>
          <w:b/>
          <w:sz w:val="32"/>
          <w:szCs w:val="32"/>
        </w:rPr>
      </w:pPr>
      <w:r>
        <w:rPr>
          <w:rFonts w:hint="eastAsia" w:ascii="宋体" w:hAnsi="宋体" w:eastAsia="宋体" w:cs="Times New Roman"/>
          <w:b/>
          <w:sz w:val="32"/>
          <w:szCs w:val="32"/>
        </w:rPr>
        <w:t>设计错误分类</w:t>
      </w:r>
    </w:p>
    <w:p w14:paraId="360C6FF8">
      <w:pPr>
        <w:spacing w:line="360" w:lineRule="auto"/>
        <w:jc w:val="center"/>
        <w:rPr>
          <w:rFonts w:hint="eastAsia" w:ascii="宋体" w:hAnsi="宋体" w:eastAsia="宋体" w:cs="Times New Roman"/>
          <w:b/>
          <w:sz w:val="32"/>
          <w:szCs w:val="32"/>
        </w:rPr>
      </w:pPr>
    </w:p>
    <w:p w14:paraId="16303CC9">
      <w:pPr>
        <w:autoSpaceDE w:val="0"/>
        <w:autoSpaceDN w:val="0"/>
        <w:adjustRightInd w:val="0"/>
        <w:snapToGrid w:val="0"/>
        <w:spacing w:line="360" w:lineRule="auto"/>
        <w:jc w:val="left"/>
        <w:rPr>
          <w:rFonts w:hint="eastAsia" w:ascii="宋体" w:hAnsi="宋体" w:eastAsia="宋体" w:cs="Times New Roman"/>
          <w:b/>
          <w:sz w:val="32"/>
          <w:szCs w:val="32"/>
        </w:rPr>
      </w:pPr>
      <w:r>
        <w:rPr>
          <w:rFonts w:hint="eastAsia" w:ascii="宋体" w:hAnsi="宋体" w:eastAsia="宋体" w:cs="宋体"/>
          <w:b/>
          <w:sz w:val="32"/>
          <w:szCs w:val="32"/>
        </w:rPr>
        <w:t>一、建筑专业施工图精细化审图错误分类</w:t>
      </w:r>
    </w:p>
    <w:p w14:paraId="5398ADA1">
      <w:pPr>
        <w:autoSpaceDE w:val="0"/>
        <w:autoSpaceDN w:val="0"/>
        <w:adjustRightInd w:val="0"/>
        <w:snapToGrid w:val="0"/>
        <w:spacing w:line="360" w:lineRule="auto"/>
        <w:rPr>
          <w:rFonts w:hint="eastAsia" w:ascii="宋体" w:hAnsi="宋体" w:eastAsia="宋体" w:cs="宋体"/>
          <w:b/>
          <w:sz w:val="24"/>
        </w:rPr>
      </w:pPr>
      <w:r>
        <w:rPr>
          <w:rFonts w:hint="eastAsia" w:ascii="宋体" w:hAnsi="宋体" w:eastAsia="宋体" w:cs="宋体"/>
          <w:b/>
          <w:sz w:val="24"/>
        </w:rPr>
        <w:t>【</w:t>
      </w:r>
      <w:r>
        <w:rPr>
          <w:rFonts w:hint="eastAsia" w:ascii="宋体" w:hAnsi="宋体" w:eastAsia="宋体" w:cs="Times New Roman"/>
          <w:b/>
          <w:sz w:val="24"/>
        </w:rPr>
        <w:t>Ⅰ类错误</w:t>
      </w:r>
      <w:r>
        <w:rPr>
          <w:rFonts w:hint="eastAsia" w:ascii="宋体" w:hAnsi="宋体" w:eastAsia="宋体" w:cs="宋体"/>
          <w:b/>
          <w:sz w:val="24"/>
        </w:rPr>
        <w:t>】</w:t>
      </w:r>
    </w:p>
    <w:p w14:paraId="2349E5B0">
      <w:pPr>
        <w:adjustRightInd w:val="0"/>
        <w:snapToGrid w:val="0"/>
        <w:spacing w:line="360" w:lineRule="auto"/>
        <w:ind w:firstLine="482" w:firstLineChars="200"/>
        <w:rPr>
          <w:rFonts w:hint="eastAsia" w:ascii="宋体" w:hAnsi="宋体" w:eastAsia="宋体" w:cs="Times New Roman"/>
          <w:b/>
          <w:sz w:val="24"/>
        </w:rPr>
      </w:pPr>
      <w:r>
        <w:rPr>
          <w:rFonts w:hint="eastAsia" w:ascii="宋体" w:hAnsi="宋体" w:eastAsia="宋体" w:cs="Times New Roman"/>
          <w:b/>
          <w:sz w:val="24"/>
        </w:rPr>
        <w:t>严重违反规范、标准、规定，存在严重安全隐患、可能造成重大经济损失或严重影响报建工作进行的错误。如：</w:t>
      </w:r>
    </w:p>
    <w:p w14:paraId="64FD4F80">
      <w:pPr>
        <w:adjustRightInd w:val="0"/>
        <w:snapToGrid w:val="0"/>
        <w:spacing w:line="360" w:lineRule="auto"/>
        <w:ind w:left="1415" w:leftChars="201" w:hanging="993" w:hangingChars="414"/>
        <w:rPr>
          <w:rFonts w:hint="eastAsia" w:ascii="宋体" w:hAnsi="宋体" w:eastAsia="宋体" w:cs="Times New Roman"/>
          <w:sz w:val="24"/>
        </w:rPr>
      </w:pPr>
      <w:r>
        <w:rPr>
          <w:rFonts w:hint="eastAsia" w:ascii="宋体" w:hAnsi="宋体" w:eastAsia="宋体" w:cs="Times New Roman"/>
          <w:sz w:val="24"/>
        </w:rPr>
        <w:t xml:space="preserve">I-建-01 未按政府批文等依据性文件设计造成重大损失或严重影响报建的。     </w:t>
      </w:r>
    </w:p>
    <w:p w14:paraId="64DFD50A">
      <w:pPr>
        <w:adjustRightInd w:val="0"/>
        <w:snapToGrid w:val="0"/>
        <w:spacing w:line="360" w:lineRule="auto"/>
        <w:ind w:left="1556" w:leftChars="202" w:hanging="1132" w:hangingChars="472"/>
        <w:rPr>
          <w:rFonts w:hint="eastAsia" w:ascii="宋体" w:hAnsi="宋体" w:eastAsia="宋体" w:cs="Times New Roman"/>
          <w:sz w:val="24"/>
        </w:rPr>
      </w:pPr>
      <w:r>
        <w:rPr>
          <w:rFonts w:hint="eastAsia" w:ascii="宋体" w:hAnsi="宋体" w:eastAsia="宋体" w:cs="Times New Roman"/>
          <w:sz w:val="24"/>
        </w:rPr>
        <w:t>I-建-02 总图中日照设计不符合规范要求。</w:t>
      </w:r>
    </w:p>
    <w:p w14:paraId="79FCBDEA">
      <w:pPr>
        <w:adjustRightInd w:val="0"/>
        <w:snapToGrid w:val="0"/>
        <w:spacing w:line="360" w:lineRule="auto"/>
        <w:ind w:left="1556" w:leftChars="202" w:hanging="1132" w:hangingChars="472"/>
        <w:rPr>
          <w:rFonts w:hint="eastAsia" w:ascii="宋体" w:hAnsi="宋体" w:eastAsia="宋体" w:cs="Times New Roman"/>
          <w:sz w:val="24"/>
        </w:rPr>
      </w:pPr>
      <w:r>
        <w:rPr>
          <w:rFonts w:hint="eastAsia" w:ascii="宋体" w:hAnsi="宋体" w:eastAsia="宋体" w:cs="Times New Roman"/>
          <w:sz w:val="24"/>
        </w:rPr>
        <w:t>I-建-03 总图中消防间距不够。</w:t>
      </w:r>
    </w:p>
    <w:p w14:paraId="700EBFAD">
      <w:pPr>
        <w:adjustRightInd w:val="0"/>
        <w:snapToGrid w:val="0"/>
        <w:spacing w:line="360" w:lineRule="auto"/>
        <w:ind w:left="1556" w:leftChars="202" w:hanging="1132" w:hangingChars="472"/>
        <w:rPr>
          <w:rFonts w:hint="eastAsia" w:ascii="宋体" w:hAnsi="宋体" w:eastAsia="宋体" w:cs="Times New Roman"/>
          <w:sz w:val="24"/>
        </w:rPr>
      </w:pPr>
      <w:r>
        <w:rPr>
          <w:rFonts w:hint="eastAsia" w:ascii="宋体" w:hAnsi="宋体" w:eastAsia="宋体" w:cs="Times New Roman"/>
          <w:sz w:val="24"/>
        </w:rPr>
        <w:t xml:space="preserve">I-建-04 消防通道和消防登高面不满足规范要求。   </w:t>
      </w:r>
    </w:p>
    <w:p w14:paraId="00DC51DA">
      <w:pPr>
        <w:adjustRightInd w:val="0"/>
        <w:snapToGrid w:val="0"/>
        <w:spacing w:line="360" w:lineRule="auto"/>
        <w:ind w:left="1380" w:leftChars="200" w:hanging="960" w:hangingChars="400"/>
        <w:jc w:val="left"/>
        <w:rPr>
          <w:rFonts w:hint="eastAsia" w:ascii="宋体" w:hAnsi="宋体" w:eastAsia="宋体" w:cs="Times New Roman"/>
          <w:sz w:val="24"/>
        </w:rPr>
      </w:pPr>
      <w:r>
        <w:rPr>
          <w:rFonts w:hint="eastAsia" w:ascii="宋体" w:hAnsi="宋体" w:eastAsia="宋体" w:cs="Times New Roman"/>
          <w:sz w:val="24"/>
        </w:rPr>
        <w:t xml:space="preserve">I-建-05 疏散楼梯定性错误，防火分区面积、疏散距离、疏散宽度等防火设计不满足消防规范的强条。  </w:t>
      </w:r>
    </w:p>
    <w:p w14:paraId="1F3CD15E">
      <w:pPr>
        <w:tabs>
          <w:tab w:val="left" w:pos="1620"/>
          <w:tab w:val="left" w:pos="1800"/>
        </w:tabs>
        <w:adjustRightInd w:val="0"/>
        <w:snapToGrid w:val="0"/>
        <w:spacing w:line="360" w:lineRule="auto"/>
        <w:ind w:left="1556" w:leftChars="202" w:hanging="1132" w:hangingChars="472"/>
        <w:rPr>
          <w:rFonts w:hint="eastAsia" w:ascii="宋体" w:hAnsi="宋体" w:eastAsia="宋体" w:cs="Times New Roman"/>
          <w:sz w:val="24"/>
        </w:rPr>
      </w:pPr>
      <w:r>
        <w:rPr>
          <w:rFonts w:hint="eastAsia" w:ascii="宋体" w:hAnsi="宋体" w:eastAsia="宋体" w:cs="Times New Roman"/>
          <w:sz w:val="24"/>
        </w:rPr>
        <w:t>I-建-06 室内装修材料燃烧性能等级不符合规范要求。</w:t>
      </w:r>
    </w:p>
    <w:p w14:paraId="7B38CD53">
      <w:pPr>
        <w:tabs>
          <w:tab w:val="left" w:pos="1620"/>
          <w:tab w:val="left" w:pos="1800"/>
        </w:tabs>
        <w:adjustRightInd w:val="0"/>
        <w:snapToGrid w:val="0"/>
        <w:spacing w:line="360" w:lineRule="auto"/>
        <w:ind w:left="1556" w:leftChars="202" w:hanging="1132" w:hangingChars="472"/>
        <w:rPr>
          <w:rFonts w:hint="eastAsia" w:ascii="宋体" w:hAnsi="宋体" w:eastAsia="宋体" w:cs="Times New Roman"/>
          <w:sz w:val="24"/>
        </w:rPr>
      </w:pPr>
      <w:r>
        <w:rPr>
          <w:rFonts w:hint="eastAsia" w:ascii="宋体" w:hAnsi="宋体" w:eastAsia="宋体" w:cs="Times New Roman"/>
          <w:sz w:val="24"/>
        </w:rPr>
        <w:t>I-建-07 楼梯、坡道不满足净高要求。</w:t>
      </w:r>
    </w:p>
    <w:p w14:paraId="4D29EE1D">
      <w:pPr>
        <w:tabs>
          <w:tab w:val="left" w:pos="1620"/>
          <w:tab w:val="left" w:pos="1800"/>
        </w:tabs>
        <w:adjustRightInd w:val="0"/>
        <w:snapToGrid w:val="0"/>
        <w:spacing w:line="360" w:lineRule="auto"/>
        <w:ind w:left="1556" w:leftChars="202" w:hanging="1132" w:hangingChars="472"/>
        <w:rPr>
          <w:rFonts w:hint="eastAsia" w:ascii="宋体" w:hAnsi="宋体" w:eastAsia="宋体" w:cs="Times New Roman"/>
          <w:sz w:val="24"/>
        </w:rPr>
      </w:pPr>
      <w:r>
        <w:rPr>
          <w:rFonts w:hint="eastAsia" w:ascii="宋体" w:hAnsi="宋体" w:eastAsia="宋体" w:cs="Times New Roman"/>
          <w:sz w:val="24"/>
        </w:rPr>
        <w:t>I-建-08 栏杆的高度及强度不符合要求。</w:t>
      </w:r>
    </w:p>
    <w:p w14:paraId="5CA0A1A1">
      <w:pPr>
        <w:adjustRightInd w:val="0"/>
        <w:snapToGrid w:val="0"/>
        <w:spacing w:line="360" w:lineRule="auto"/>
        <w:ind w:left="1556" w:leftChars="202" w:hanging="1132" w:hangingChars="472"/>
        <w:rPr>
          <w:rFonts w:hint="eastAsia" w:ascii="宋体" w:hAnsi="宋体" w:eastAsia="宋体" w:cs="Times New Roman"/>
          <w:sz w:val="24"/>
        </w:rPr>
      </w:pPr>
      <w:r>
        <w:rPr>
          <w:rFonts w:hint="eastAsia" w:ascii="宋体" w:hAnsi="宋体" w:eastAsia="宋体" w:cs="Times New Roman"/>
          <w:sz w:val="24"/>
        </w:rPr>
        <w:t>I-建-09 其它违反强条，并会造成严重损失的。</w:t>
      </w:r>
    </w:p>
    <w:p w14:paraId="19658830">
      <w:pPr>
        <w:autoSpaceDE w:val="0"/>
        <w:autoSpaceDN w:val="0"/>
        <w:adjustRightInd w:val="0"/>
        <w:snapToGrid w:val="0"/>
        <w:spacing w:line="360" w:lineRule="auto"/>
        <w:rPr>
          <w:rFonts w:hint="eastAsia" w:ascii="宋体" w:hAnsi="宋体" w:eastAsia="宋体" w:cs="宋体"/>
          <w:b/>
          <w:sz w:val="24"/>
        </w:rPr>
      </w:pPr>
      <w:r>
        <w:rPr>
          <w:rFonts w:hint="eastAsia" w:ascii="宋体" w:hAnsi="宋体" w:eastAsia="宋体" w:cs="宋体"/>
          <w:b/>
          <w:sz w:val="24"/>
        </w:rPr>
        <w:t>【Ⅱ类错误】</w:t>
      </w:r>
    </w:p>
    <w:p w14:paraId="67266616">
      <w:pPr>
        <w:adjustRightInd w:val="0"/>
        <w:snapToGrid w:val="0"/>
        <w:spacing w:line="360" w:lineRule="auto"/>
        <w:ind w:firstLine="482" w:firstLineChars="200"/>
        <w:rPr>
          <w:rFonts w:hint="eastAsia" w:ascii="宋体" w:hAnsi="宋体" w:eastAsia="宋体" w:cs="Times New Roman"/>
          <w:b/>
          <w:sz w:val="24"/>
        </w:rPr>
      </w:pPr>
      <w:r>
        <w:rPr>
          <w:rFonts w:hint="eastAsia" w:ascii="宋体" w:hAnsi="宋体" w:eastAsia="宋体" w:cs="Times New Roman"/>
          <w:b/>
          <w:sz w:val="24"/>
        </w:rPr>
        <w:t>局部违反规范、标准、规定，或设计不周、有局部遗漏或错误、可能影响局部使用效果或造成较大经济损失，有一定修正量，但返工量不大的错误。如：</w:t>
      </w:r>
    </w:p>
    <w:p w14:paraId="4727533A">
      <w:pPr>
        <w:adjustRightInd w:val="0"/>
        <w:snapToGrid w:val="0"/>
        <w:spacing w:line="360" w:lineRule="auto"/>
        <w:ind w:left="1698" w:leftChars="203" w:hanging="1272" w:hangingChars="530"/>
        <w:jc w:val="left"/>
        <w:rPr>
          <w:rFonts w:hint="eastAsia" w:ascii="宋体" w:hAnsi="宋体" w:eastAsia="宋体" w:cs="Times New Roman"/>
          <w:sz w:val="24"/>
        </w:rPr>
      </w:pPr>
      <w:r>
        <w:rPr>
          <w:rFonts w:hint="eastAsia" w:ascii="宋体" w:hAnsi="宋体" w:eastAsia="宋体" w:cs="Times New Roman"/>
          <w:sz w:val="24"/>
        </w:rPr>
        <w:t>Ⅱ-建-01  道路及场地竖向设计不符合规范。</w:t>
      </w:r>
    </w:p>
    <w:p w14:paraId="4AB0ADDD">
      <w:pPr>
        <w:tabs>
          <w:tab w:val="left" w:pos="1620"/>
          <w:tab w:val="left" w:pos="1800"/>
        </w:tabs>
        <w:adjustRightInd w:val="0"/>
        <w:snapToGrid w:val="0"/>
        <w:spacing w:line="360" w:lineRule="auto"/>
        <w:ind w:left="1698" w:leftChars="203" w:hanging="1272" w:hangingChars="530"/>
        <w:jc w:val="left"/>
        <w:rPr>
          <w:rFonts w:hint="eastAsia" w:ascii="宋体" w:hAnsi="宋体" w:eastAsia="宋体" w:cs="Times New Roman"/>
          <w:sz w:val="24"/>
        </w:rPr>
      </w:pPr>
      <w:r>
        <w:rPr>
          <w:rFonts w:hint="eastAsia" w:ascii="宋体" w:hAnsi="宋体" w:eastAsia="宋体" w:cs="Times New Roman"/>
          <w:sz w:val="24"/>
        </w:rPr>
        <w:t>Ⅱ-建-02  消防电梯不符合防火要求。</w:t>
      </w:r>
    </w:p>
    <w:p w14:paraId="770AD04C">
      <w:pPr>
        <w:tabs>
          <w:tab w:val="left" w:pos="1620"/>
          <w:tab w:val="left" w:pos="1800"/>
        </w:tabs>
        <w:adjustRightInd w:val="0"/>
        <w:snapToGrid w:val="0"/>
        <w:spacing w:line="360" w:lineRule="auto"/>
        <w:ind w:left="1698" w:leftChars="203" w:hanging="1272" w:hangingChars="530"/>
        <w:jc w:val="left"/>
        <w:rPr>
          <w:rFonts w:hint="eastAsia" w:ascii="宋体" w:hAnsi="宋体" w:eastAsia="宋体" w:cs="Times New Roman"/>
          <w:sz w:val="24"/>
        </w:rPr>
      </w:pPr>
      <w:r>
        <w:rPr>
          <w:rFonts w:hint="eastAsia" w:ascii="宋体" w:hAnsi="宋体" w:eastAsia="宋体" w:cs="Times New Roman"/>
          <w:sz w:val="24"/>
        </w:rPr>
        <w:t>Ⅱ-建-03  管道井不符合防火规范。</w:t>
      </w:r>
    </w:p>
    <w:p w14:paraId="74E5EBB7">
      <w:pPr>
        <w:tabs>
          <w:tab w:val="left" w:pos="1620"/>
          <w:tab w:val="left" w:pos="1800"/>
        </w:tabs>
        <w:adjustRightInd w:val="0"/>
        <w:snapToGrid w:val="0"/>
        <w:spacing w:line="360" w:lineRule="auto"/>
        <w:ind w:left="1698" w:leftChars="203" w:hanging="1272" w:hangingChars="530"/>
        <w:jc w:val="left"/>
        <w:rPr>
          <w:rFonts w:hint="eastAsia" w:ascii="宋体" w:hAnsi="宋体" w:eastAsia="宋体" w:cs="Times New Roman"/>
          <w:sz w:val="24"/>
        </w:rPr>
      </w:pPr>
      <w:r>
        <w:rPr>
          <w:rFonts w:hint="eastAsia" w:ascii="宋体" w:hAnsi="宋体" w:eastAsia="宋体" w:cs="Times New Roman"/>
          <w:sz w:val="24"/>
        </w:rPr>
        <w:t>Ⅱ-建-04  房间使用功能名称标识错误。</w:t>
      </w:r>
    </w:p>
    <w:p w14:paraId="3390D247">
      <w:pPr>
        <w:tabs>
          <w:tab w:val="left" w:pos="1620"/>
          <w:tab w:val="left" w:pos="1800"/>
        </w:tabs>
        <w:adjustRightInd w:val="0"/>
        <w:snapToGrid w:val="0"/>
        <w:spacing w:line="360" w:lineRule="auto"/>
        <w:ind w:left="1698" w:leftChars="203" w:hanging="1272" w:hangingChars="530"/>
        <w:jc w:val="left"/>
        <w:rPr>
          <w:rFonts w:hint="eastAsia" w:ascii="宋体" w:hAnsi="宋体" w:eastAsia="宋体" w:cs="Times New Roman"/>
          <w:sz w:val="24"/>
        </w:rPr>
      </w:pPr>
      <w:r>
        <w:rPr>
          <w:rFonts w:hint="eastAsia" w:ascii="宋体" w:hAnsi="宋体" w:eastAsia="宋体" w:cs="Times New Roman"/>
          <w:sz w:val="24"/>
        </w:rPr>
        <w:t>Ⅱ-建-05  重要部位平、立、剖不一致。</w:t>
      </w:r>
    </w:p>
    <w:p w14:paraId="55DFBEF0">
      <w:pPr>
        <w:tabs>
          <w:tab w:val="left" w:pos="1620"/>
          <w:tab w:val="left" w:pos="1985"/>
        </w:tabs>
        <w:adjustRightInd w:val="0"/>
        <w:snapToGrid w:val="0"/>
        <w:spacing w:line="360" w:lineRule="auto"/>
        <w:ind w:left="1698" w:leftChars="203" w:hanging="1272" w:hangingChars="530"/>
        <w:jc w:val="left"/>
        <w:rPr>
          <w:rFonts w:hint="eastAsia" w:ascii="宋体" w:hAnsi="宋体" w:eastAsia="宋体" w:cs="Times New Roman"/>
          <w:sz w:val="24"/>
        </w:rPr>
      </w:pPr>
      <w:r>
        <w:rPr>
          <w:rFonts w:hint="eastAsia" w:ascii="宋体" w:hAnsi="宋体" w:eastAsia="宋体" w:cs="Times New Roman"/>
          <w:sz w:val="24"/>
        </w:rPr>
        <w:t>Ⅱ-建-06  建筑图上结构承重部分与结构图不一致或与设备专业设计不一致造成严重后果的。</w:t>
      </w:r>
    </w:p>
    <w:p w14:paraId="03ACF287">
      <w:pPr>
        <w:tabs>
          <w:tab w:val="left" w:pos="1620"/>
          <w:tab w:val="left" w:pos="1800"/>
        </w:tabs>
        <w:adjustRightInd w:val="0"/>
        <w:snapToGrid w:val="0"/>
        <w:spacing w:line="360" w:lineRule="auto"/>
        <w:ind w:left="1698" w:leftChars="203" w:hanging="1272" w:hangingChars="530"/>
        <w:jc w:val="left"/>
        <w:rPr>
          <w:rFonts w:hint="eastAsia" w:ascii="宋体" w:hAnsi="宋体" w:eastAsia="宋体" w:cs="Times New Roman"/>
          <w:sz w:val="24"/>
        </w:rPr>
      </w:pPr>
      <w:r>
        <w:rPr>
          <w:rFonts w:hint="eastAsia" w:ascii="宋体" w:hAnsi="宋体" w:eastAsia="宋体" w:cs="Times New Roman"/>
          <w:sz w:val="24"/>
        </w:rPr>
        <w:t>Ⅱ-建-07  防水防潮技术处理欠妥。</w:t>
      </w:r>
    </w:p>
    <w:p w14:paraId="1CE0E9C1">
      <w:pPr>
        <w:tabs>
          <w:tab w:val="left" w:pos="1620"/>
          <w:tab w:val="left" w:pos="1800"/>
        </w:tabs>
        <w:adjustRightInd w:val="0"/>
        <w:snapToGrid w:val="0"/>
        <w:spacing w:line="360" w:lineRule="auto"/>
        <w:ind w:left="1698" w:leftChars="203" w:hanging="1272" w:hangingChars="530"/>
        <w:jc w:val="left"/>
        <w:rPr>
          <w:rFonts w:hint="eastAsia" w:ascii="宋体" w:hAnsi="宋体" w:eastAsia="宋体" w:cs="Times New Roman"/>
          <w:sz w:val="24"/>
        </w:rPr>
      </w:pPr>
      <w:r>
        <w:rPr>
          <w:rFonts w:hint="eastAsia" w:ascii="宋体" w:hAnsi="宋体" w:eastAsia="宋体" w:cs="Times New Roman"/>
          <w:sz w:val="24"/>
        </w:rPr>
        <w:t>Ⅱ-建-08  人防设计不符合规范。</w:t>
      </w:r>
    </w:p>
    <w:p w14:paraId="7B745A3D">
      <w:pPr>
        <w:adjustRightInd w:val="0"/>
        <w:snapToGrid w:val="0"/>
        <w:spacing w:line="360" w:lineRule="auto"/>
        <w:ind w:left="1698" w:leftChars="203" w:hanging="1272" w:hangingChars="530"/>
        <w:jc w:val="left"/>
        <w:rPr>
          <w:rFonts w:hint="eastAsia" w:ascii="宋体" w:hAnsi="宋体" w:eastAsia="宋体" w:cs="Times New Roman"/>
          <w:sz w:val="24"/>
        </w:rPr>
      </w:pPr>
      <w:r>
        <w:rPr>
          <w:rFonts w:hint="eastAsia" w:ascii="宋体" w:hAnsi="宋体" w:eastAsia="宋体" w:cs="Times New Roman"/>
          <w:sz w:val="24"/>
        </w:rPr>
        <w:t>Ⅱ-建-09  无障碍设施不符合规范要求。</w:t>
      </w:r>
    </w:p>
    <w:p w14:paraId="39B6E127">
      <w:pPr>
        <w:adjustRightInd w:val="0"/>
        <w:snapToGrid w:val="0"/>
        <w:spacing w:line="360" w:lineRule="auto"/>
        <w:ind w:left="1698" w:leftChars="203" w:hanging="1272" w:hangingChars="530"/>
        <w:jc w:val="left"/>
        <w:rPr>
          <w:rFonts w:hint="eastAsia" w:ascii="宋体" w:hAnsi="宋体" w:eastAsia="宋体" w:cs="Times New Roman"/>
          <w:sz w:val="24"/>
        </w:rPr>
      </w:pPr>
      <w:r>
        <w:rPr>
          <w:rFonts w:hint="eastAsia" w:ascii="宋体" w:hAnsi="宋体" w:eastAsia="宋体" w:cs="Times New Roman"/>
          <w:sz w:val="24"/>
        </w:rPr>
        <w:t>Ⅱ-建-10  设计不符合一般性规范。</w:t>
      </w:r>
    </w:p>
    <w:p w14:paraId="37E86CE9">
      <w:pPr>
        <w:autoSpaceDE w:val="0"/>
        <w:autoSpaceDN w:val="0"/>
        <w:adjustRightInd w:val="0"/>
        <w:snapToGrid w:val="0"/>
        <w:spacing w:line="360" w:lineRule="auto"/>
        <w:rPr>
          <w:rFonts w:hint="eastAsia" w:ascii="宋体" w:hAnsi="宋体" w:eastAsia="宋体" w:cs="宋体"/>
          <w:b/>
          <w:sz w:val="24"/>
        </w:rPr>
      </w:pPr>
      <w:r>
        <w:rPr>
          <w:rFonts w:hint="eastAsia" w:ascii="宋体" w:hAnsi="宋体" w:eastAsia="宋体" w:cs="宋体"/>
          <w:b/>
          <w:sz w:val="24"/>
        </w:rPr>
        <w:t>【Ⅲ类错误】</w:t>
      </w:r>
    </w:p>
    <w:p w14:paraId="6AA6F504">
      <w:pPr>
        <w:adjustRightInd w:val="0"/>
        <w:snapToGrid w:val="0"/>
        <w:spacing w:line="360" w:lineRule="auto"/>
        <w:ind w:firstLine="424" w:firstLineChars="176"/>
        <w:rPr>
          <w:rFonts w:hint="eastAsia" w:ascii="宋体" w:hAnsi="宋体" w:eastAsia="宋体" w:cs="Times New Roman"/>
          <w:b/>
          <w:sz w:val="24"/>
        </w:rPr>
      </w:pPr>
      <w:r>
        <w:rPr>
          <w:rFonts w:hint="eastAsia" w:ascii="宋体" w:hAnsi="宋体" w:eastAsia="宋体" w:cs="Times New Roman"/>
          <w:b/>
          <w:sz w:val="24"/>
        </w:rPr>
        <w:t>图面深度不够或工种配合的一般性错误，容易修正，对使用效果不致造成影响或产生重大安全隐患的。如：</w:t>
      </w:r>
    </w:p>
    <w:p w14:paraId="22129A82">
      <w:pPr>
        <w:tabs>
          <w:tab w:val="left" w:pos="1620"/>
          <w:tab w:val="left" w:pos="1800"/>
        </w:tabs>
        <w:adjustRightInd w:val="0"/>
        <w:snapToGrid w:val="0"/>
        <w:spacing w:line="360" w:lineRule="auto"/>
        <w:ind w:firstLine="422" w:firstLineChars="176"/>
        <w:jc w:val="left"/>
        <w:rPr>
          <w:rFonts w:hint="eastAsia" w:ascii="宋体" w:hAnsi="宋体" w:eastAsia="宋体" w:cs="Times New Roman"/>
          <w:sz w:val="24"/>
        </w:rPr>
      </w:pPr>
      <w:r>
        <w:rPr>
          <w:rFonts w:hint="eastAsia" w:ascii="宋体" w:hAnsi="宋体" w:eastAsia="宋体" w:cs="Times New Roman"/>
          <w:sz w:val="24"/>
        </w:rPr>
        <w:t>Ⅲ-建-01  不符合制图标准和设计深度。</w:t>
      </w:r>
    </w:p>
    <w:p w14:paraId="3EBE30F6">
      <w:pPr>
        <w:tabs>
          <w:tab w:val="left" w:pos="1620"/>
          <w:tab w:val="left" w:pos="1800"/>
        </w:tabs>
        <w:adjustRightInd w:val="0"/>
        <w:snapToGrid w:val="0"/>
        <w:spacing w:line="360" w:lineRule="auto"/>
        <w:ind w:firstLine="422" w:firstLineChars="176"/>
        <w:jc w:val="left"/>
        <w:rPr>
          <w:rFonts w:hint="eastAsia" w:ascii="宋体" w:hAnsi="宋体" w:eastAsia="宋体" w:cs="Times New Roman"/>
          <w:sz w:val="24"/>
        </w:rPr>
      </w:pPr>
      <w:r>
        <w:rPr>
          <w:rFonts w:hint="eastAsia" w:ascii="宋体" w:hAnsi="宋体" w:eastAsia="宋体" w:cs="Times New Roman"/>
          <w:sz w:val="24"/>
        </w:rPr>
        <w:t xml:space="preserve">Ⅲ-建-02  </w:t>
      </w:r>
      <w:r>
        <w:rPr>
          <w:rFonts w:hint="eastAsia" w:ascii="宋体" w:hAnsi="宋体" w:eastAsia="宋体" w:cs="Times New Roman"/>
        </w:rPr>
        <w:t>设计文件、设计说明不全。</w:t>
      </w:r>
    </w:p>
    <w:p w14:paraId="21692F00">
      <w:pPr>
        <w:tabs>
          <w:tab w:val="left" w:pos="1620"/>
          <w:tab w:val="left" w:pos="1800"/>
        </w:tabs>
        <w:adjustRightInd w:val="0"/>
        <w:snapToGrid w:val="0"/>
        <w:spacing w:line="360" w:lineRule="auto"/>
        <w:ind w:firstLine="422" w:firstLineChars="176"/>
        <w:jc w:val="left"/>
        <w:rPr>
          <w:rFonts w:hint="eastAsia" w:ascii="宋体" w:hAnsi="宋体" w:eastAsia="宋体" w:cs="Times New Roman"/>
          <w:sz w:val="24"/>
        </w:rPr>
      </w:pPr>
      <w:r>
        <w:rPr>
          <w:rFonts w:hint="eastAsia" w:ascii="宋体" w:hAnsi="宋体" w:eastAsia="宋体" w:cs="Times New Roman"/>
          <w:sz w:val="24"/>
        </w:rPr>
        <w:t>Ⅲ-建-03  图纸内容表达不清晰。</w:t>
      </w:r>
    </w:p>
    <w:p w14:paraId="5B3CE079">
      <w:pPr>
        <w:tabs>
          <w:tab w:val="left" w:pos="1620"/>
          <w:tab w:val="left" w:pos="1800"/>
        </w:tabs>
        <w:adjustRightInd w:val="0"/>
        <w:snapToGrid w:val="0"/>
        <w:spacing w:line="360" w:lineRule="auto"/>
        <w:ind w:firstLine="422" w:firstLineChars="176"/>
        <w:jc w:val="left"/>
        <w:rPr>
          <w:rFonts w:hint="eastAsia" w:ascii="宋体" w:hAnsi="宋体" w:eastAsia="宋体" w:cs="Times New Roman"/>
          <w:sz w:val="24"/>
        </w:rPr>
      </w:pPr>
      <w:r>
        <w:rPr>
          <w:rFonts w:hint="eastAsia" w:ascii="宋体" w:hAnsi="宋体" w:eastAsia="宋体" w:cs="Times New Roman"/>
          <w:sz w:val="24"/>
        </w:rPr>
        <w:t>Ⅲ-建-04  建筑设计与结构、设备各专业设计不一致，但易修正的。</w:t>
      </w:r>
    </w:p>
    <w:p w14:paraId="497C7B1E">
      <w:pPr>
        <w:tabs>
          <w:tab w:val="left" w:pos="1620"/>
          <w:tab w:val="left" w:pos="1800"/>
        </w:tabs>
        <w:adjustRightInd w:val="0"/>
        <w:snapToGrid w:val="0"/>
        <w:spacing w:line="360" w:lineRule="auto"/>
        <w:ind w:firstLine="422" w:firstLineChars="176"/>
        <w:jc w:val="left"/>
        <w:rPr>
          <w:rFonts w:hint="eastAsia" w:ascii="宋体" w:hAnsi="宋体" w:eastAsia="宋体" w:cs="Times New Roman"/>
          <w:sz w:val="24"/>
        </w:rPr>
      </w:pPr>
      <w:r>
        <w:rPr>
          <w:rFonts w:hint="eastAsia" w:ascii="宋体" w:hAnsi="宋体" w:eastAsia="宋体" w:cs="Times New Roman"/>
          <w:sz w:val="24"/>
        </w:rPr>
        <w:t>Ⅲ-建-05  一般性尺寸错误或不全。</w:t>
      </w:r>
    </w:p>
    <w:p w14:paraId="478BFCB9">
      <w:pPr>
        <w:tabs>
          <w:tab w:val="left" w:pos="1620"/>
          <w:tab w:val="left" w:pos="1800"/>
        </w:tabs>
        <w:adjustRightInd w:val="0"/>
        <w:snapToGrid w:val="0"/>
        <w:spacing w:line="360" w:lineRule="auto"/>
        <w:ind w:firstLine="422" w:firstLineChars="176"/>
        <w:jc w:val="left"/>
        <w:rPr>
          <w:rFonts w:hint="eastAsia" w:ascii="宋体" w:hAnsi="宋体" w:eastAsia="宋体" w:cs="Times New Roman"/>
          <w:sz w:val="24"/>
        </w:rPr>
      </w:pPr>
      <w:r>
        <w:rPr>
          <w:rFonts w:hint="eastAsia" w:ascii="宋体" w:hAnsi="宋体" w:eastAsia="宋体" w:cs="Times New Roman"/>
          <w:sz w:val="24"/>
        </w:rPr>
        <w:t>Ⅲ-建-06  一般部位平、立、剖不一致。</w:t>
      </w:r>
    </w:p>
    <w:p w14:paraId="606B2257">
      <w:pPr>
        <w:tabs>
          <w:tab w:val="left" w:pos="1620"/>
          <w:tab w:val="left" w:pos="1800"/>
        </w:tabs>
        <w:adjustRightInd w:val="0"/>
        <w:snapToGrid w:val="0"/>
        <w:spacing w:line="360" w:lineRule="auto"/>
        <w:ind w:firstLine="422" w:firstLineChars="176"/>
        <w:jc w:val="left"/>
        <w:rPr>
          <w:rFonts w:hint="eastAsia" w:ascii="宋体" w:hAnsi="宋体" w:eastAsia="宋体" w:cs="Times New Roman"/>
          <w:sz w:val="24"/>
        </w:rPr>
      </w:pPr>
      <w:r>
        <w:rPr>
          <w:rFonts w:hint="eastAsia" w:ascii="宋体" w:hAnsi="宋体" w:eastAsia="宋体" w:cs="Times New Roman"/>
          <w:sz w:val="24"/>
        </w:rPr>
        <w:t>Ⅲ-建-07  一般性设计不合理。</w:t>
      </w:r>
    </w:p>
    <w:p w14:paraId="09115B58">
      <w:pPr>
        <w:tabs>
          <w:tab w:val="left" w:pos="4845"/>
        </w:tabs>
        <w:spacing w:line="360" w:lineRule="auto"/>
        <w:rPr>
          <w:rFonts w:hint="eastAsia" w:ascii="宋体" w:hAnsi="宋体" w:eastAsia="宋体" w:cs="Times New Roman"/>
        </w:rPr>
      </w:pPr>
    </w:p>
    <w:p w14:paraId="79E9FC7B">
      <w:pPr>
        <w:autoSpaceDE w:val="0"/>
        <w:autoSpaceDN w:val="0"/>
        <w:adjustRightInd w:val="0"/>
        <w:snapToGrid w:val="0"/>
        <w:spacing w:line="360" w:lineRule="auto"/>
        <w:jc w:val="left"/>
        <w:rPr>
          <w:rFonts w:hint="eastAsia" w:ascii="宋体" w:hAnsi="宋体" w:eastAsia="宋体" w:cs="宋体"/>
          <w:b/>
          <w:sz w:val="32"/>
          <w:szCs w:val="32"/>
        </w:rPr>
      </w:pPr>
      <w:r>
        <w:rPr>
          <w:rFonts w:hint="eastAsia" w:ascii="宋体" w:hAnsi="宋体" w:eastAsia="宋体" w:cs="宋体"/>
          <w:b/>
          <w:sz w:val="32"/>
          <w:szCs w:val="32"/>
        </w:rPr>
        <w:t>二、结构专业施工图精细化审图错误分类</w:t>
      </w:r>
    </w:p>
    <w:p w14:paraId="2087FFC2">
      <w:pPr>
        <w:autoSpaceDE w:val="0"/>
        <w:autoSpaceDN w:val="0"/>
        <w:adjustRightInd w:val="0"/>
        <w:snapToGrid w:val="0"/>
        <w:spacing w:line="360" w:lineRule="auto"/>
        <w:rPr>
          <w:rFonts w:hint="eastAsia" w:ascii="宋体" w:hAnsi="宋体" w:eastAsia="宋体" w:cs="宋体"/>
          <w:b/>
          <w:sz w:val="24"/>
        </w:rPr>
      </w:pPr>
      <w:r>
        <w:rPr>
          <w:rFonts w:hint="eastAsia" w:ascii="宋体" w:hAnsi="宋体" w:eastAsia="宋体" w:cs="宋体"/>
          <w:b/>
          <w:sz w:val="24"/>
        </w:rPr>
        <w:t>【Ⅰ类错误】</w:t>
      </w:r>
    </w:p>
    <w:p w14:paraId="1C6B7FBC">
      <w:pPr>
        <w:adjustRightInd w:val="0"/>
        <w:snapToGrid w:val="0"/>
        <w:spacing w:line="360" w:lineRule="auto"/>
        <w:ind w:firstLine="482" w:firstLineChars="200"/>
        <w:rPr>
          <w:rFonts w:hint="eastAsia" w:ascii="宋体" w:hAnsi="宋体" w:eastAsia="宋体" w:cs="Times New Roman"/>
          <w:b/>
          <w:sz w:val="24"/>
        </w:rPr>
      </w:pPr>
      <w:r>
        <w:rPr>
          <w:rFonts w:hint="eastAsia" w:ascii="宋体" w:hAnsi="宋体" w:eastAsia="宋体" w:cs="Times New Roman"/>
          <w:b/>
          <w:sz w:val="24"/>
        </w:rPr>
        <w:t>严重违反规范、标准、规定，存在严重安全隐患或可能造成重大经济损失。如：</w:t>
      </w:r>
    </w:p>
    <w:p w14:paraId="631002FF">
      <w:pPr>
        <w:tabs>
          <w:tab w:val="left" w:pos="1560"/>
        </w:tabs>
        <w:adjustRightInd w:val="0"/>
        <w:snapToGrid w:val="0"/>
        <w:spacing w:line="360" w:lineRule="auto"/>
        <w:ind w:left="1698" w:leftChars="203" w:hanging="1272" w:hangingChars="530"/>
        <w:jc w:val="left"/>
        <w:rPr>
          <w:rFonts w:hint="eastAsia" w:ascii="宋体" w:hAnsi="宋体" w:eastAsia="宋体" w:cs="Times New Roman"/>
          <w:sz w:val="24"/>
        </w:rPr>
      </w:pPr>
      <w:r>
        <w:rPr>
          <w:rFonts w:hint="eastAsia" w:ascii="宋体" w:hAnsi="宋体" w:eastAsia="宋体" w:cs="Times New Roman"/>
          <w:sz w:val="24"/>
        </w:rPr>
        <w:t>I-结-01  违反强条，并会造成严重损失的。</w:t>
      </w:r>
    </w:p>
    <w:p w14:paraId="784FD736">
      <w:pPr>
        <w:tabs>
          <w:tab w:val="left" w:pos="1560"/>
        </w:tabs>
        <w:adjustRightInd w:val="0"/>
        <w:snapToGrid w:val="0"/>
        <w:spacing w:line="360" w:lineRule="auto"/>
        <w:ind w:left="1698" w:leftChars="203" w:hanging="1272" w:hangingChars="530"/>
        <w:jc w:val="left"/>
        <w:rPr>
          <w:rFonts w:hint="eastAsia" w:ascii="宋体" w:hAnsi="宋体" w:eastAsia="宋体" w:cs="Times New Roman"/>
          <w:sz w:val="24"/>
        </w:rPr>
      </w:pPr>
      <w:r>
        <w:rPr>
          <w:rFonts w:hint="eastAsia" w:ascii="宋体" w:hAnsi="宋体" w:eastAsia="宋体" w:cs="Times New Roman"/>
          <w:sz w:val="24"/>
        </w:rPr>
        <w:t>I-结-02  结构选型错误。</w:t>
      </w:r>
    </w:p>
    <w:p w14:paraId="2A002602">
      <w:pPr>
        <w:tabs>
          <w:tab w:val="left" w:pos="1560"/>
        </w:tabs>
        <w:adjustRightInd w:val="0"/>
        <w:snapToGrid w:val="0"/>
        <w:spacing w:line="360" w:lineRule="auto"/>
        <w:ind w:left="1698" w:leftChars="203" w:hanging="1272" w:hangingChars="530"/>
        <w:jc w:val="left"/>
        <w:rPr>
          <w:rFonts w:hint="eastAsia" w:ascii="宋体" w:hAnsi="宋体" w:eastAsia="宋体" w:cs="Times New Roman"/>
          <w:sz w:val="24"/>
        </w:rPr>
      </w:pPr>
      <w:r>
        <w:rPr>
          <w:rFonts w:hint="eastAsia" w:ascii="宋体" w:hAnsi="宋体" w:eastAsia="宋体" w:cs="Times New Roman"/>
          <w:sz w:val="24"/>
        </w:rPr>
        <w:t>I-结-03  计算模型错误，与实际严重不符。</w:t>
      </w:r>
    </w:p>
    <w:p w14:paraId="62BEEA13">
      <w:pPr>
        <w:tabs>
          <w:tab w:val="left" w:pos="1560"/>
        </w:tabs>
        <w:adjustRightInd w:val="0"/>
        <w:snapToGrid w:val="0"/>
        <w:spacing w:line="360" w:lineRule="auto"/>
        <w:ind w:left="1698" w:leftChars="203" w:hanging="1272" w:hangingChars="530"/>
        <w:jc w:val="left"/>
        <w:rPr>
          <w:rFonts w:hint="eastAsia" w:ascii="宋体" w:hAnsi="宋体" w:eastAsia="宋体" w:cs="Times New Roman"/>
          <w:sz w:val="24"/>
        </w:rPr>
      </w:pPr>
      <w:r>
        <w:rPr>
          <w:rFonts w:hint="eastAsia" w:ascii="宋体" w:hAnsi="宋体" w:eastAsia="宋体" w:cs="Times New Roman"/>
          <w:sz w:val="24"/>
        </w:rPr>
        <w:t>I-结-04  未考虑抗震设计或抗震等级选择错误。</w:t>
      </w:r>
    </w:p>
    <w:p w14:paraId="5126C274">
      <w:pPr>
        <w:tabs>
          <w:tab w:val="left" w:pos="1080"/>
          <w:tab w:val="left" w:pos="1560"/>
        </w:tabs>
        <w:adjustRightInd w:val="0"/>
        <w:snapToGrid w:val="0"/>
        <w:spacing w:line="360" w:lineRule="auto"/>
        <w:ind w:left="1698" w:leftChars="203" w:hanging="1272" w:hangingChars="530"/>
        <w:jc w:val="left"/>
        <w:rPr>
          <w:rFonts w:hint="eastAsia" w:ascii="宋体" w:hAnsi="宋体" w:eastAsia="宋体" w:cs="Times New Roman"/>
          <w:sz w:val="24"/>
        </w:rPr>
      </w:pPr>
      <w:r>
        <w:rPr>
          <w:rFonts w:hint="eastAsia" w:ascii="宋体" w:hAnsi="宋体" w:eastAsia="宋体" w:cs="Times New Roman"/>
          <w:sz w:val="24"/>
        </w:rPr>
        <w:t>I-结-05  主要的计算参数或整体荷载取值错误。</w:t>
      </w:r>
    </w:p>
    <w:p w14:paraId="56FEB707">
      <w:pPr>
        <w:adjustRightInd w:val="0"/>
        <w:snapToGrid w:val="0"/>
        <w:spacing w:line="360" w:lineRule="auto"/>
        <w:ind w:left="1506" w:leftChars="203" w:hanging="1080" w:hangingChars="450"/>
        <w:jc w:val="left"/>
        <w:rPr>
          <w:rFonts w:hint="eastAsia" w:ascii="宋体" w:hAnsi="宋体" w:eastAsia="宋体" w:cs="Times New Roman"/>
          <w:sz w:val="24"/>
        </w:rPr>
      </w:pPr>
      <w:r>
        <w:rPr>
          <w:rFonts w:hint="eastAsia" w:ascii="宋体" w:hAnsi="宋体" w:eastAsia="宋体" w:cs="Times New Roman"/>
          <w:sz w:val="24"/>
        </w:rPr>
        <w:t>I-结-06  计算结果重要指标（周期比、位移比、刚度比、刚重比、剪重比、层间受剪承载力……）不满足规范要求。</w:t>
      </w:r>
    </w:p>
    <w:p w14:paraId="04C06E0C">
      <w:pPr>
        <w:tabs>
          <w:tab w:val="left" w:pos="1080"/>
          <w:tab w:val="left" w:pos="1560"/>
        </w:tabs>
        <w:adjustRightInd w:val="0"/>
        <w:snapToGrid w:val="0"/>
        <w:spacing w:line="360" w:lineRule="auto"/>
        <w:ind w:left="1698" w:leftChars="203" w:hanging="1272" w:hangingChars="530"/>
        <w:jc w:val="left"/>
        <w:rPr>
          <w:rFonts w:hint="eastAsia" w:ascii="宋体" w:hAnsi="宋体" w:eastAsia="宋体" w:cs="Times New Roman"/>
          <w:sz w:val="24"/>
        </w:rPr>
      </w:pPr>
      <w:r>
        <w:rPr>
          <w:rFonts w:hint="eastAsia" w:ascii="宋体" w:hAnsi="宋体" w:eastAsia="宋体" w:cs="Times New Roman"/>
          <w:sz w:val="24"/>
        </w:rPr>
        <w:t>I-结-07  基础选型错误。</w:t>
      </w:r>
    </w:p>
    <w:p w14:paraId="654A886A">
      <w:pPr>
        <w:tabs>
          <w:tab w:val="left" w:pos="1080"/>
          <w:tab w:val="left" w:pos="1560"/>
        </w:tabs>
        <w:adjustRightInd w:val="0"/>
        <w:snapToGrid w:val="0"/>
        <w:spacing w:line="360" w:lineRule="auto"/>
        <w:ind w:left="1698" w:leftChars="203" w:hanging="1272" w:hangingChars="530"/>
        <w:jc w:val="left"/>
        <w:rPr>
          <w:rFonts w:hint="eastAsia" w:ascii="宋体" w:hAnsi="宋体" w:eastAsia="宋体" w:cs="Times New Roman"/>
          <w:sz w:val="24"/>
        </w:rPr>
      </w:pPr>
      <w:r>
        <w:rPr>
          <w:rFonts w:hint="eastAsia" w:ascii="宋体" w:hAnsi="宋体" w:eastAsia="宋体" w:cs="Times New Roman"/>
          <w:sz w:val="24"/>
        </w:rPr>
        <w:t>I-结-08  关键竖向构件承载力不足。</w:t>
      </w:r>
    </w:p>
    <w:p w14:paraId="77604457">
      <w:pPr>
        <w:tabs>
          <w:tab w:val="left" w:pos="1080"/>
          <w:tab w:val="left" w:pos="1560"/>
        </w:tabs>
        <w:adjustRightInd w:val="0"/>
        <w:snapToGrid w:val="0"/>
        <w:spacing w:line="360" w:lineRule="auto"/>
        <w:ind w:left="1698" w:leftChars="203" w:hanging="1272" w:hangingChars="530"/>
        <w:jc w:val="left"/>
        <w:rPr>
          <w:rFonts w:hint="eastAsia" w:ascii="宋体" w:hAnsi="宋体" w:eastAsia="宋体" w:cs="Times New Roman"/>
          <w:sz w:val="24"/>
        </w:rPr>
      </w:pPr>
      <w:r>
        <w:rPr>
          <w:rFonts w:hint="eastAsia" w:ascii="宋体" w:hAnsi="宋体" w:eastAsia="宋体" w:cs="Times New Roman"/>
          <w:sz w:val="24"/>
        </w:rPr>
        <w:t>I-结-09  转换梁承载力不足。</w:t>
      </w:r>
    </w:p>
    <w:p w14:paraId="432AA4C8">
      <w:pPr>
        <w:autoSpaceDE w:val="0"/>
        <w:autoSpaceDN w:val="0"/>
        <w:adjustRightInd w:val="0"/>
        <w:snapToGrid w:val="0"/>
        <w:spacing w:line="360" w:lineRule="auto"/>
        <w:rPr>
          <w:rFonts w:hint="eastAsia" w:ascii="宋体" w:hAnsi="宋体" w:eastAsia="宋体" w:cs="宋体"/>
          <w:b/>
          <w:sz w:val="24"/>
        </w:rPr>
      </w:pPr>
      <w:r>
        <w:rPr>
          <w:rFonts w:hint="eastAsia" w:ascii="宋体" w:hAnsi="宋体" w:eastAsia="宋体" w:cs="宋体"/>
          <w:b/>
          <w:sz w:val="24"/>
        </w:rPr>
        <w:t>【Ⅱ类错误】</w:t>
      </w:r>
    </w:p>
    <w:p w14:paraId="56006B24">
      <w:pPr>
        <w:adjustRightInd w:val="0"/>
        <w:snapToGrid w:val="0"/>
        <w:spacing w:line="360" w:lineRule="auto"/>
        <w:ind w:firstLine="482" w:firstLineChars="200"/>
        <w:rPr>
          <w:rFonts w:hint="eastAsia" w:ascii="宋体" w:hAnsi="宋体" w:eastAsia="宋体" w:cs="Times New Roman"/>
          <w:sz w:val="24"/>
        </w:rPr>
      </w:pPr>
      <w:r>
        <w:rPr>
          <w:rFonts w:hint="eastAsia" w:ascii="宋体" w:hAnsi="宋体" w:eastAsia="宋体" w:cs="Times New Roman"/>
          <w:b/>
          <w:sz w:val="24"/>
        </w:rPr>
        <w:t>局部违反规范、标准、规定，或设计不周，严重影响建筑使用功能或造成施工返工，可能带来较大经济损失。如：</w:t>
      </w:r>
    </w:p>
    <w:p w14:paraId="691B1FCA">
      <w:pPr>
        <w:tabs>
          <w:tab w:val="left" w:pos="1320"/>
        </w:tabs>
        <w:adjustRightInd w:val="0"/>
        <w:snapToGrid w:val="0"/>
        <w:spacing w:line="360" w:lineRule="auto"/>
        <w:ind w:left="1839" w:leftChars="203" w:hanging="1413" w:hangingChars="589"/>
        <w:rPr>
          <w:rFonts w:hint="eastAsia" w:ascii="宋体" w:hAnsi="宋体" w:eastAsia="宋体" w:cs="Times New Roman"/>
          <w:sz w:val="24"/>
        </w:rPr>
      </w:pPr>
      <w:r>
        <w:rPr>
          <w:rFonts w:hint="eastAsia" w:ascii="宋体" w:hAnsi="宋体" w:eastAsia="宋体" w:cs="Times New Roman"/>
          <w:sz w:val="24"/>
        </w:rPr>
        <w:t>Ⅱ-结-01  建筑物长度超过规范要求而未采取任何措施。</w:t>
      </w:r>
    </w:p>
    <w:p w14:paraId="509F6ECF">
      <w:pPr>
        <w:tabs>
          <w:tab w:val="left" w:pos="1320"/>
        </w:tabs>
        <w:adjustRightInd w:val="0"/>
        <w:snapToGrid w:val="0"/>
        <w:spacing w:line="360" w:lineRule="auto"/>
        <w:ind w:left="1839" w:leftChars="203" w:hanging="1413" w:hangingChars="589"/>
        <w:rPr>
          <w:rFonts w:hint="eastAsia" w:ascii="宋体" w:hAnsi="宋体" w:eastAsia="宋体" w:cs="Times New Roman"/>
          <w:sz w:val="24"/>
        </w:rPr>
      </w:pPr>
      <w:r>
        <w:rPr>
          <w:rFonts w:hint="eastAsia" w:ascii="宋体" w:hAnsi="宋体" w:eastAsia="宋体" w:cs="Times New Roman"/>
          <w:sz w:val="24"/>
        </w:rPr>
        <w:t>Ⅱ-结-02  局部荷载取值不足。</w:t>
      </w:r>
    </w:p>
    <w:p w14:paraId="0F6AE0A8">
      <w:pPr>
        <w:tabs>
          <w:tab w:val="left" w:pos="1320"/>
        </w:tabs>
        <w:adjustRightInd w:val="0"/>
        <w:snapToGrid w:val="0"/>
        <w:spacing w:line="360" w:lineRule="auto"/>
        <w:ind w:left="1839" w:leftChars="203" w:hanging="1413" w:hangingChars="589"/>
        <w:rPr>
          <w:rFonts w:hint="eastAsia" w:ascii="宋体" w:hAnsi="宋体" w:eastAsia="宋体" w:cs="Times New Roman"/>
          <w:sz w:val="24"/>
        </w:rPr>
      </w:pPr>
      <w:r>
        <w:rPr>
          <w:rFonts w:hint="eastAsia" w:ascii="宋体" w:hAnsi="宋体" w:eastAsia="宋体" w:cs="Times New Roman"/>
          <w:sz w:val="24"/>
        </w:rPr>
        <w:t>Ⅱ-结-03  计算模型局部平面布置与实际不符。</w:t>
      </w:r>
    </w:p>
    <w:p w14:paraId="12393E43">
      <w:pPr>
        <w:adjustRightInd w:val="0"/>
        <w:snapToGrid w:val="0"/>
        <w:spacing w:line="360" w:lineRule="auto"/>
        <w:ind w:left="1839" w:leftChars="203" w:hanging="1413" w:hangingChars="589"/>
        <w:rPr>
          <w:rFonts w:hint="eastAsia" w:ascii="宋体" w:hAnsi="宋体" w:eastAsia="宋体" w:cs="Times New Roman"/>
          <w:sz w:val="24"/>
        </w:rPr>
      </w:pPr>
      <w:r>
        <w:rPr>
          <w:rFonts w:hint="eastAsia" w:ascii="宋体" w:hAnsi="宋体" w:eastAsia="宋体" w:cs="Times New Roman"/>
          <w:sz w:val="24"/>
        </w:rPr>
        <w:t>Ⅱ-结-04  结构构件承载力不足（除关键竖向构件、转换梁）。</w:t>
      </w:r>
    </w:p>
    <w:p w14:paraId="391650C7">
      <w:pPr>
        <w:adjustRightInd w:val="0"/>
        <w:snapToGrid w:val="0"/>
        <w:spacing w:line="360" w:lineRule="auto"/>
        <w:ind w:left="1839" w:leftChars="203" w:hanging="1413" w:hangingChars="589"/>
        <w:rPr>
          <w:rFonts w:hint="eastAsia" w:ascii="宋体" w:hAnsi="宋体" w:eastAsia="宋体" w:cs="Times New Roman"/>
          <w:sz w:val="24"/>
        </w:rPr>
      </w:pPr>
      <w:r>
        <w:rPr>
          <w:rFonts w:hint="eastAsia" w:ascii="宋体" w:hAnsi="宋体" w:eastAsia="宋体" w:cs="Times New Roman"/>
          <w:sz w:val="24"/>
        </w:rPr>
        <w:t>Ⅱ-结-05  阳台、雨蓬的抗倾覆安全不够。</w:t>
      </w:r>
    </w:p>
    <w:p w14:paraId="2825C43A">
      <w:pPr>
        <w:adjustRightInd w:val="0"/>
        <w:snapToGrid w:val="0"/>
        <w:spacing w:line="360" w:lineRule="auto"/>
        <w:ind w:left="1839" w:leftChars="203" w:hanging="1413" w:hangingChars="589"/>
        <w:rPr>
          <w:rFonts w:hint="eastAsia" w:ascii="宋体" w:hAnsi="宋体" w:eastAsia="宋体" w:cs="Times New Roman"/>
          <w:sz w:val="24"/>
        </w:rPr>
      </w:pPr>
      <w:r>
        <w:rPr>
          <w:rFonts w:hint="eastAsia" w:ascii="宋体" w:hAnsi="宋体" w:eastAsia="宋体" w:cs="Times New Roman"/>
          <w:sz w:val="24"/>
        </w:rPr>
        <w:t>Ⅱ-结-06  违反强条但不存在严重安全隐患。</w:t>
      </w:r>
    </w:p>
    <w:p w14:paraId="4BE5A80E">
      <w:pPr>
        <w:adjustRightInd w:val="0"/>
        <w:snapToGrid w:val="0"/>
        <w:spacing w:line="360" w:lineRule="auto"/>
        <w:ind w:left="1839" w:leftChars="203" w:hanging="1413" w:hangingChars="589"/>
        <w:rPr>
          <w:rFonts w:hint="eastAsia" w:ascii="宋体" w:hAnsi="宋体" w:eastAsia="宋体" w:cs="Times New Roman"/>
          <w:sz w:val="24"/>
        </w:rPr>
      </w:pPr>
      <w:r>
        <w:rPr>
          <w:rFonts w:hint="eastAsia" w:ascii="宋体" w:hAnsi="宋体" w:eastAsia="宋体" w:cs="Times New Roman"/>
          <w:sz w:val="24"/>
        </w:rPr>
        <w:t>Ⅱ-结-07  剪力墙开洞与建筑设计不符合，严重影响使用要求。</w:t>
      </w:r>
    </w:p>
    <w:p w14:paraId="446D09C3">
      <w:pPr>
        <w:adjustRightInd w:val="0"/>
        <w:snapToGrid w:val="0"/>
        <w:spacing w:line="360" w:lineRule="auto"/>
        <w:ind w:left="1698" w:leftChars="202" w:hanging="1274" w:hangingChars="531"/>
        <w:rPr>
          <w:rFonts w:hint="eastAsia" w:ascii="宋体" w:hAnsi="宋体" w:eastAsia="宋体" w:cs="Times New Roman"/>
          <w:sz w:val="24"/>
        </w:rPr>
      </w:pPr>
      <w:r>
        <w:rPr>
          <w:rFonts w:hint="eastAsia" w:ascii="宋体" w:hAnsi="宋体" w:eastAsia="宋体" w:cs="Times New Roman"/>
          <w:sz w:val="24"/>
        </w:rPr>
        <w:t>Ⅱ-结-08  存在明显的未设计部分，影响现场进度（如小楼梯、夹层较大洞口的预留）。</w:t>
      </w:r>
    </w:p>
    <w:p w14:paraId="261C4E2A">
      <w:pPr>
        <w:adjustRightInd w:val="0"/>
        <w:snapToGrid w:val="0"/>
        <w:spacing w:line="360" w:lineRule="auto"/>
        <w:ind w:left="1839" w:leftChars="203" w:hanging="1413" w:hangingChars="589"/>
        <w:rPr>
          <w:rFonts w:hint="eastAsia" w:ascii="宋体" w:hAnsi="宋体" w:eastAsia="宋体" w:cs="Times New Roman"/>
          <w:sz w:val="24"/>
        </w:rPr>
      </w:pPr>
      <w:r>
        <w:rPr>
          <w:rFonts w:hint="eastAsia" w:ascii="宋体" w:hAnsi="宋体" w:eastAsia="宋体" w:cs="Times New Roman"/>
          <w:sz w:val="24"/>
        </w:rPr>
        <w:t>Ⅱ-结-09  结构标高与建筑标高要求不符。</w:t>
      </w:r>
    </w:p>
    <w:p w14:paraId="26EF704F">
      <w:pPr>
        <w:adjustRightInd w:val="0"/>
        <w:snapToGrid w:val="0"/>
        <w:spacing w:line="360" w:lineRule="auto"/>
        <w:ind w:left="1839" w:leftChars="203" w:hanging="1413" w:hangingChars="589"/>
        <w:rPr>
          <w:rFonts w:hint="eastAsia" w:ascii="宋体" w:hAnsi="宋体" w:eastAsia="宋体" w:cs="Times New Roman"/>
          <w:sz w:val="24"/>
        </w:rPr>
      </w:pPr>
      <w:r>
        <w:rPr>
          <w:rFonts w:hint="eastAsia" w:ascii="宋体" w:hAnsi="宋体" w:eastAsia="宋体" w:cs="Times New Roman"/>
          <w:sz w:val="24"/>
        </w:rPr>
        <w:t>Ⅱ-结-10  结构与建筑平面布置不一致，影响建筑或设备使用功能。</w:t>
      </w:r>
    </w:p>
    <w:p w14:paraId="4AB45260">
      <w:pPr>
        <w:adjustRightInd w:val="0"/>
        <w:snapToGrid w:val="0"/>
        <w:spacing w:line="360" w:lineRule="auto"/>
        <w:ind w:left="1839" w:leftChars="203" w:hanging="1413" w:hangingChars="589"/>
        <w:rPr>
          <w:rFonts w:hint="eastAsia" w:ascii="宋体" w:hAnsi="宋体" w:eastAsia="宋体" w:cs="Times New Roman"/>
          <w:sz w:val="24"/>
        </w:rPr>
      </w:pPr>
      <w:r>
        <w:rPr>
          <w:rFonts w:hint="eastAsia" w:ascii="宋体" w:hAnsi="宋体" w:eastAsia="宋体" w:cs="Times New Roman"/>
          <w:sz w:val="24"/>
        </w:rPr>
        <w:t>Ⅱ-结-11  结构竖向构件影响开门或建筑空间使用要求。</w:t>
      </w:r>
    </w:p>
    <w:p w14:paraId="02C91840">
      <w:pPr>
        <w:adjustRightInd w:val="0"/>
        <w:snapToGrid w:val="0"/>
        <w:spacing w:line="360" w:lineRule="auto"/>
        <w:ind w:left="1839" w:leftChars="203" w:hanging="1413" w:hangingChars="589"/>
        <w:rPr>
          <w:rFonts w:hint="eastAsia" w:ascii="宋体" w:hAnsi="宋体" w:eastAsia="宋体" w:cs="Times New Roman"/>
          <w:b/>
          <w:sz w:val="24"/>
        </w:rPr>
      </w:pPr>
      <w:r>
        <w:rPr>
          <w:rFonts w:hint="eastAsia" w:ascii="宋体" w:hAnsi="宋体" w:eastAsia="宋体" w:cs="Times New Roman"/>
          <w:sz w:val="24"/>
        </w:rPr>
        <w:t>Ⅱ-结-12  梁高影响建筑净高或门/窗洞高度要求。</w:t>
      </w:r>
    </w:p>
    <w:p w14:paraId="77B40DE3">
      <w:pPr>
        <w:adjustRightInd w:val="0"/>
        <w:snapToGrid w:val="0"/>
        <w:spacing w:line="360" w:lineRule="auto"/>
        <w:ind w:left="1839" w:leftChars="203" w:hanging="1413" w:hangingChars="589"/>
        <w:rPr>
          <w:rFonts w:hint="eastAsia" w:ascii="宋体" w:hAnsi="宋体" w:eastAsia="宋体" w:cs="Times New Roman"/>
          <w:sz w:val="24"/>
        </w:rPr>
      </w:pPr>
      <w:r>
        <w:rPr>
          <w:rFonts w:hint="eastAsia" w:ascii="宋体" w:hAnsi="宋体" w:eastAsia="宋体" w:cs="Times New Roman"/>
          <w:sz w:val="24"/>
        </w:rPr>
        <w:t>Ⅱ-结-13  结构节点与建筑节点不一致，严重影响建筑功能或立面效果。</w:t>
      </w:r>
    </w:p>
    <w:p w14:paraId="5185B7F9">
      <w:pPr>
        <w:autoSpaceDE w:val="0"/>
        <w:autoSpaceDN w:val="0"/>
        <w:adjustRightInd w:val="0"/>
        <w:snapToGrid w:val="0"/>
        <w:spacing w:line="360" w:lineRule="auto"/>
        <w:rPr>
          <w:rFonts w:hint="eastAsia" w:ascii="宋体" w:hAnsi="宋体" w:eastAsia="宋体" w:cs="宋体"/>
          <w:b/>
          <w:sz w:val="24"/>
        </w:rPr>
      </w:pPr>
      <w:r>
        <w:rPr>
          <w:rFonts w:hint="eastAsia" w:ascii="宋体" w:hAnsi="宋体" w:eastAsia="宋体" w:cs="宋体"/>
          <w:b/>
          <w:sz w:val="24"/>
        </w:rPr>
        <w:t>【Ⅲ 类错误】</w:t>
      </w:r>
    </w:p>
    <w:p w14:paraId="11EFBBA1">
      <w:pPr>
        <w:adjustRightInd w:val="0"/>
        <w:snapToGrid w:val="0"/>
        <w:spacing w:line="360" w:lineRule="auto"/>
        <w:ind w:firstLine="482" w:firstLineChars="200"/>
        <w:rPr>
          <w:rFonts w:hint="eastAsia" w:ascii="宋体" w:hAnsi="宋体" w:eastAsia="宋体" w:cs="Times New Roman"/>
        </w:rPr>
      </w:pPr>
      <w:r>
        <w:rPr>
          <w:rFonts w:hint="eastAsia" w:ascii="宋体" w:hAnsi="宋体" w:eastAsia="宋体" w:cs="Times New Roman"/>
          <w:b/>
          <w:sz w:val="24"/>
        </w:rPr>
        <w:t>图面或工种配合一般性错误，容易修正，且不致造成严重影响使用效果或安全。如：</w:t>
      </w:r>
    </w:p>
    <w:p w14:paraId="34FDBFBE">
      <w:pPr>
        <w:tabs>
          <w:tab w:val="left" w:pos="1320"/>
        </w:tabs>
        <w:adjustRightInd w:val="0"/>
        <w:snapToGrid w:val="0"/>
        <w:spacing w:line="360" w:lineRule="auto"/>
        <w:ind w:left="1839" w:leftChars="203" w:hanging="1413" w:hangingChars="589"/>
        <w:jc w:val="left"/>
        <w:rPr>
          <w:rFonts w:hint="eastAsia" w:ascii="宋体" w:hAnsi="宋体" w:eastAsia="宋体" w:cs="Times New Roman"/>
          <w:sz w:val="24"/>
        </w:rPr>
      </w:pPr>
      <w:r>
        <w:rPr>
          <w:rFonts w:hint="eastAsia" w:ascii="宋体" w:hAnsi="宋体" w:eastAsia="宋体" w:cs="Times New Roman"/>
          <w:sz w:val="24"/>
        </w:rPr>
        <w:t>Ⅲ-结-01  图纸目录不全。</w:t>
      </w:r>
    </w:p>
    <w:p w14:paraId="05B1B4F8">
      <w:pPr>
        <w:adjustRightInd w:val="0"/>
        <w:snapToGrid w:val="0"/>
        <w:spacing w:line="360" w:lineRule="auto"/>
        <w:ind w:left="1839" w:leftChars="203" w:hanging="1413" w:hangingChars="589"/>
        <w:jc w:val="left"/>
        <w:rPr>
          <w:rFonts w:hint="eastAsia" w:ascii="宋体" w:hAnsi="宋体" w:eastAsia="宋体" w:cs="Times New Roman"/>
          <w:sz w:val="24"/>
        </w:rPr>
      </w:pPr>
      <w:r>
        <w:rPr>
          <w:rFonts w:hint="eastAsia" w:ascii="宋体" w:hAnsi="宋体" w:eastAsia="宋体" w:cs="Times New Roman"/>
          <w:sz w:val="24"/>
        </w:rPr>
        <w:t>Ⅲ-结-02  设计文件、设计说明不全。</w:t>
      </w:r>
    </w:p>
    <w:p w14:paraId="0D783283">
      <w:pPr>
        <w:adjustRightInd w:val="0"/>
        <w:snapToGrid w:val="0"/>
        <w:spacing w:line="360" w:lineRule="auto"/>
        <w:ind w:left="1839" w:leftChars="203" w:hanging="1413" w:hangingChars="589"/>
        <w:jc w:val="left"/>
        <w:rPr>
          <w:rFonts w:hint="eastAsia" w:ascii="宋体" w:hAnsi="宋体" w:eastAsia="宋体" w:cs="Times New Roman"/>
          <w:sz w:val="24"/>
        </w:rPr>
      </w:pPr>
      <w:r>
        <w:rPr>
          <w:rFonts w:hint="eastAsia" w:ascii="宋体" w:hAnsi="宋体" w:eastAsia="宋体" w:cs="Times New Roman"/>
          <w:sz w:val="24"/>
        </w:rPr>
        <w:t>Ⅲ-结-03  图例或符号不符合规定。</w:t>
      </w:r>
    </w:p>
    <w:p w14:paraId="573689B4">
      <w:pPr>
        <w:adjustRightInd w:val="0"/>
        <w:snapToGrid w:val="0"/>
        <w:spacing w:line="360" w:lineRule="auto"/>
        <w:ind w:left="1839" w:leftChars="203" w:hanging="1413" w:hangingChars="589"/>
        <w:jc w:val="left"/>
        <w:rPr>
          <w:rFonts w:hint="eastAsia" w:ascii="宋体" w:hAnsi="宋体" w:eastAsia="宋体" w:cs="Times New Roman"/>
          <w:sz w:val="24"/>
        </w:rPr>
      </w:pPr>
      <w:r>
        <w:rPr>
          <w:rFonts w:hint="eastAsia" w:ascii="宋体" w:hAnsi="宋体" w:eastAsia="宋体" w:cs="Times New Roman"/>
          <w:sz w:val="24"/>
        </w:rPr>
        <w:t>Ⅲ-结-04  图纸内容表达不够清楚。</w:t>
      </w:r>
    </w:p>
    <w:p w14:paraId="624DAE7B">
      <w:pPr>
        <w:adjustRightInd w:val="0"/>
        <w:snapToGrid w:val="0"/>
        <w:spacing w:line="360" w:lineRule="auto"/>
        <w:ind w:left="1839" w:leftChars="203" w:hanging="1413" w:hangingChars="589"/>
        <w:jc w:val="left"/>
        <w:rPr>
          <w:rFonts w:hint="eastAsia" w:ascii="宋体" w:hAnsi="宋体" w:eastAsia="宋体" w:cs="Times New Roman"/>
          <w:sz w:val="24"/>
        </w:rPr>
      </w:pPr>
      <w:r>
        <w:rPr>
          <w:rFonts w:hint="eastAsia" w:ascii="宋体" w:hAnsi="宋体" w:eastAsia="宋体" w:cs="Times New Roman"/>
          <w:sz w:val="24"/>
        </w:rPr>
        <w:t>Ⅲ-结-05  设计说明与建筑、设备专业不符。</w:t>
      </w:r>
    </w:p>
    <w:p w14:paraId="592B9AB2">
      <w:pPr>
        <w:adjustRightInd w:val="0"/>
        <w:snapToGrid w:val="0"/>
        <w:spacing w:line="360" w:lineRule="auto"/>
        <w:ind w:left="1839" w:leftChars="203" w:hanging="1413" w:hangingChars="589"/>
        <w:jc w:val="left"/>
        <w:rPr>
          <w:rFonts w:hint="eastAsia" w:ascii="宋体" w:hAnsi="宋体" w:eastAsia="宋体" w:cs="Times New Roman"/>
          <w:sz w:val="24"/>
        </w:rPr>
      </w:pPr>
      <w:r>
        <w:rPr>
          <w:rFonts w:hint="eastAsia" w:ascii="宋体" w:hAnsi="宋体" w:eastAsia="宋体" w:cs="Times New Roman"/>
          <w:sz w:val="24"/>
        </w:rPr>
        <w:t>Ⅲ-结-06  一般性违反规范、尺寸错误或不全。</w:t>
      </w:r>
    </w:p>
    <w:p w14:paraId="78DA7BB9">
      <w:pPr>
        <w:adjustRightInd w:val="0"/>
        <w:snapToGrid w:val="0"/>
        <w:spacing w:line="360" w:lineRule="auto"/>
        <w:ind w:left="1839" w:leftChars="203" w:hanging="1413" w:hangingChars="589"/>
        <w:jc w:val="left"/>
        <w:rPr>
          <w:rFonts w:hint="eastAsia" w:ascii="宋体" w:hAnsi="宋体" w:eastAsia="宋体" w:cs="Times New Roman"/>
          <w:sz w:val="24"/>
        </w:rPr>
      </w:pPr>
      <w:r>
        <w:rPr>
          <w:rFonts w:hint="eastAsia" w:ascii="宋体" w:hAnsi="宋体" w:eastAsia="宋体" w:cs="Times New Roman"/>
          <w:sz w:val="24"/>
        </w:rPr>
        <w:t>Ⅲ-结-07  平、剖面图、详图互相不一致。</w:t>
      </w:r>
    </w:p>
    <w:p w14:paraId="70C958F9">
      <w:pPr>
        <w:adjustRightInd w:val="0"/>
        <w:snapToGrid w:val="0"/>
        <w:spacing w:line="360" w:lineRule="auto"/>
        <w:ind w:left="1839" w:leftChars="203" w:hanging="1413" w:hangingChars="589"/>
        <w:jc w:val="left"/>
        <w:rPr>
          <w:rFonts w:hint="eastAsia" w:ascii="宋体" w:hAnsi="宋体" w:eastAsia="宋体" w:cs="Times New Roman"/>
          <w:sz w:val="24"/>
        </w:rPr>
      </w:pPr>
      <w:r>
        <w:rPr>
          <w:rFonts w:hint="eastAsia" w:ascii="宋体" w:hAnsi="宋体" w:eastAsia="宋体" w:cs="Times New Roman"/>
          <w:sz w:val="24"/>
        </w:rPr>
        <w:t>Ⅲ-结-08  应设置构造钢筋的部位未设或少设构造钢筋。</w:t>
      </w:r>
    </w:p>
    <w:p w14:paraId="77673088">
      <w:pPr>
        <w:adjustRightInd w:val="0"/>
        <w:snapToGrid w:val="0"/>
        <w:spacing w:line="360" w:lineRule="auto"/>
        <w:ind w:left="1839" w:leftChars="203" w:hanging="1413" w:hangingChars="589"/>
        <w:jc w:val="left"/>
        <w:rPr>
          <w:rFonts w:hint="eastAsia" w:ascii="宋体" w:hAnsi="宋体" w:eastAsia="宋体" w:cs="Times New Roman"/>
          <w:sz w:val="24"/>
        </w:rPr>
      </w:pPr>
      <w:r>
        <w:rPr>
          <w:rFonts w:hint="eastAsia" w:ascii="宋体" w:hAnsi="宋体" w:eastAsia="宋体" w:cs="Times New Roman"/>
          <w:sz w:val="24"/>
        </w:rPr>
        <w:t>Ⅲ-结-09  结构构件设计与建筑要求不符，但容易修正的。</w:t>
      </w:r>
    </w:p>
    <w:p w14:paraId="4CBDB6C9">
      <w:pPr>
        <w:adjustRightInd w:val="0"/>
        <w:snapToGrid w:val="0"/>
        <w:spacing w:line="360" w:lineRule="auto"/>
        <w:ind w:left="1839" w:leftChars="203" w:hanging="1413" w:hangingChars="589"/>
        <w:jc w:val="left"/>
        <w:rPr>
          <w:rFonts w:hint="eastAsia" w:ascii="宋体" w:hAnsi="宋体" w:eastAsia="宋体" w:cs="Times New Roman"/>
          <w:sz w:val="24"/>
        </w:rPr>
      </w:pPr>
      <w:r>
        <w:rPr>
          <w:rFonts w:hint="eastAsia" w:ascii="宋体" w:hAnsi="宋体" w:eastAsia="宋体" w:cs="Times New Roman"/>
          <w:sz w:val="24"/>
        </w:rPr>
        <w:t>Ⅲ-结-10  预留孔洞与建筑要求不符，但容易修正的。</w:t>
      </w:r>
    </w:p>
    <w:p w14:paraId="251A0DB8">
      <w:pPr>
        <w:adjustRightInd w:val="0"/>
        <w:snapToGrid w:val="0"/>
        <w:spacing w:line="360" w:lineRule="auto"/>
        <w:ind w:left="1839" w:leftChars="203" w:hanging="1413" w:hangingChars="589"/>
        <w:jc w:val="left"/>
        <w:rPr>
          <w:rFonts w:hint="eastAsia" w:ascii="宋体" w:hAnsi="宋体" w:eastAsia="宋体" w:cs="Times New Roman"/>
          <w:sz w:val="24"/>
        </w:rPr>
      </w:pPr>
      <w:r>
        <w:rPr>
          <w:rFonts w:hint="eastAsia" w:ascii="宋体" w:hAnsi="宋体" w:eastAsia="宋体" w:cs="Times New Roman"/>
          <w:sz w:val="24"/>
        </w:rPr>
        <w:t>Ⅲ-结-11  结构构件设计与设备要求不符，但容易修正的。</w:t>
      </w:r>
    </w:p>
    <w:p w14:paraId="738D175E">
      <w:pPr>
        <w:adjustRightInd w:val="0"/>
        <w:snapToGrid w:val="0"/>
        <w:spacing w:line="360" w:lineRule="auto"/>
        <w:ind w:left="1839" w:leftChars="203" w:hanging="1413" w:hangingChars="589"/>
        <w:jc w:val="left"/>
        <w:rPr>
          <w:rFonts w:hint="eastAsia" w:ascii="宋体" w:hAnsi="宋体" w:eastAsia="宋体" w:cs="Times New Roman"/>
          <w:sz w:val="24"/>
        </w:rPr>
      </w:pPr>
      <w:r>
        <w:rPr>
          <w:rFonts w:hint="eastAsia" w:ascii="宋体" w:hAnsi="宋体" w:eastAsia="宋体" w:cs="Times New Roman"/>
          <w:sz w:val="24"/>
        </w:rPr>
        <w:t>Ⅲ-结-12  预留孔洞与设备要求不符，但容易修正的。</w:t>
      </w:r>
    </w:p>
    <w:p w14:paraId="06C674F3">
      <w:pPr>
        <w:adjustRightInd w:val="0"/>
        <w:snapToGrid w:val="0"/>
        <w:spacing w:line="360" w:lineRule="auto"/>
        <w:ind w:left="1839" w:leftChars="203" w:hanging="1413" w:hangingChars="589"/>
        <w:jc w:val="left"/>
        <w:rPr>
          <w:rFonts w:hint="eastAsia" w:ascii="宋体" w:hAnsi="宋体" w:eastAsia="宋体" w:cs="Times New Roman"/>
          <w:sz w:val="24"/>
        </w:rPr>
      </w:pPr>
      <w:r>
        <w:rPr>
          <w:rFonts w:hint="eastAsia" w:ascii="宋体" w:hAnsi="宋体" w:eastAsia="宋体" w:cs="Times New Roman"/>
          <w:sz w:val="24"/>
        </w:rPr>
        <w:t>Ⅲ-结-13  幕墙、钢雨棚等预埋件未设计。</w:t>
      </w:r>
    </w:p>
    <w:p w14:paraId="0681553D">
      <w:pPr>
        <w:tabs>
          <w:tab w:val="left" w:pos="4845"/>
        </w:tabs>
        <w:adjustRightInd w:val="0"/>
        <w:snapToGrid w:val="0"/>
        <w:spacing w:line="360" w:lineRule="auto"/>
        <w:rPr>
          <w:rFonts w:hint="eastAsia" w:ascii="宋体" w:hAnsi="宋体" w:eastAsia="宋体" w:cs="Times New Roman"/>
        </w:rPr>
      </w:pPr>
    </w:p>
    <w:p w14:paraId="2AAFB929">
      <w:pPr>
        <w:autoSpaceDE w:val="0"/>
        <w:autoSpaceDN w:val="0"/>
        <w:adjustRightInd w:val="0"/>
        <w:snapToGrid w:val="0"/>
        <w:spacing w:line="360" w:lineRule="auto"/>
        <w:jc w:val="left"/>
        <w:rPr>
          <w:rFonts w:hint="eastAsia" w:ascii="宋体" w:hAnsi="宋体" w:eastAsia="宋体" w:cs="宋体"/>
          <w:b/>
          <w:sz w:val="32"/>
          <w:szCs w:val="32"/>
        </w:rPr>
      </w:pPr>
      <w:r>
        <w:rPr>
          <w:rFonts w:hint="eastAsia" w:ascii="宋体" w:hAnsi="宋体" w:eastAsia="宋体" w:cs="宋体"/>
          <w:b/>
          <w:sz w:val="32"/>
          <w:szCs w:val="32"/>
        </w:rPr>
        <w:t>三、给排水专业施工图精细化审图错误分类</w:t>
      </w:r>
    </w:p>
    <w:p w14:paraId="325F35FC">
      <w:pPr>
        <w:autoSpaceDE w:val="0"/>
        <w:autoSpaceDN w:val="0"/>
        <w:adjustRightInd w:val="0"/>
        <w:snapToGrid w:val="0"/>
        <w:spacing w:line="360" w:lineRule="auto"/>
        <w:rPr>
          <w:rFonts w:hint="eastAsia" w:ascii="宋体" w:hAnsi="宋体" w:eastAsia="宋体" w:cs="宋体"/>
          <w:b/>
          <w:sz w:val="24"/>
        </w:rPr>
      </w:pPr>
      <w:r>
        <w:rPr>
          <w:rFonts w:hint="eastAsia" w:ascii="宋体" w:hAnsi="宋体" w:eastAsia="宋体" w:cs="宋体"/>
          <w:b/>
          <w:sz w:val="24"/>
        </w:rPr>
        <w:t>【Ⅰ类错误】</w:t>
      </w:r>
    </w:p>
    <w:p w14:paraId="09A6C118">
      <w:pPr>
        <w:adjustRightInd w:val="0"/>
        <w:snapToGrid w:val="0"/>
        <w:spacing w:line="360" w:lineRule="auto"/>
        <w:ind w:firstLine="482" w:firstLineChars="200"/>
        <w:rPr>
          <w:rFonts w:hint="eastAsia" w:ascii="宋体" w:hAnsi="宋体" w:eastAsia="宋体" w:cs="Times New Roman"/>
          <w:b/>
          <w:sz w:val="24"/>
        </w:rPr>
      </w:pPr>
      <w:r>
        <w:rPr>
          <w:rFonts w:hint="eastAsia" w:ascii="宋体" w:hAnsi="宋体" w:eastAsia="宋体" w:cs="Times New Roman"/>
          <w:b/>
          <w:sz w:val="24"/>
        </w:rPr>
        <w:t>严重违反法律、法规及地方性标准。存在严重安全隐患，或可能造成重大施工返工及重大经济损失。如:</w:t>
      </w:r>
    </w:p>
    <w:p w14:paraId="5D4A6034">
      <w:pPr>
        <w:tabs>
          <w:tab w:val="left" w:pos="1560"/>
          <w:tab w:val="left" w:pos="1800"/>
        </w:tabs>
        <w:adjustRightInd w:val="0"/>
        <w:snapToGrid w:val="0"/>
        <w:spacing w:line="360" w:lineRule="auto"/>
        <w:ind w:left="1698" w:leftChars="203" w:hanging="1272" w:hangingChars="530"/>
        <w:jc w:val="left"/>
        <w:rPr>
          <w:rFonts w:hint="eastAsia" w:ascii="宋体" w:hAnsi="宋体" w:eastAsia="宋体" w:cs="Times New Roman"/>
          <w:sz w:val="24"/>
        </w:rPr>
      </w:pPr>
      <w:r>
        <w:rPr>
          <w:rFonts w:hint="eastAsia" w:ascii="宋体" w:hAnsi="宋体" w:eastAsia="宋体" w:cs="Times New Roman"/>
          <w:sz w:val="24"/>
        </w:rPr>
        <w:t>I-水-01  漏设规范要求的主要生活、消防给排水系统。</w:t>
      </w:r>
    </w:p>
    <w:p w14:paraId="0959845C">
      <w:pPr>
        <w:tabs>
          <w:tab w:val="left" w:pos="1560"/>
          <w:tab w:val="left" w:pos="1800"/>
        </w:tabs>
        <w:adjustRightInd w:val="0"/>
        <w:snapToGrid w:val="0"/>
        <w:spacing w:line="360" w:lineRule="auto"/>
        <w:ind w:left="1506" w:leftChars="203" w:hanging="1080" w:hangingChars="450"/>
        <w:jc w:val="left"/>
        <w:rPr>
          <w:rFonts w:hint="eastAsia" w:ascii="宋体" w:hAnsi="宋体" w:eastAsia="宋体" w:cs="Times New Roman"/>
          <w:sz w:val="24"/>
        </w:rPr>
      </w:pPr>
      <w:r>
        <w:rPr>
          <w:rFonts w:hint="eastAsia" w:ascii="宋体" w:hAnsi="宋体" w:eastAsia="宋体" w:cs="Times New Roman"/>
          <w:sz w:val="24"/>
        </w:rPr>
        <w:t>I-水-02  主要给排水构筑物的设计位置、数量、容积及设备机房的设计位置、层高、面积违反规范要求。</w:t>
      </w:r>
    </w:p>
    <w:p w14:paraId="4A376C40">
      <w:pPr>
        <w:tabs>
          <w:tab w:val="left" w:pos="1560"/>
          <w:tab w:val="left" w:pos="1800"/>
        </w:tabs>
        <w:adjustRightInd w:val="0"/>
        <w:snapToGrid w:val="0"/>
        <w:spacing w:line="360" w:lineRule="auto"/>
        <w:ind w:left="1506" w:leftChars="203" w:hanging="1080" w:hangingChars="450"/>
        <w:jc w:val="left"/>
        <w:rPr>
          <w:rFonts w:hint="eastAsia" w:ascii="宋体" w:hAnsi="宋体" w:eastAsia="宋体" w:cs="Times New Roman"/>
          <w:sz w:val="24"/>
        </w:rPr>
      </w:pPr>
      <w:r>
        <w:rPr>
          <w:rFonts w:hint="eastAsia" w:ascii="宋体" w:hAnsi="宋体" w:eastAsia="宋体" w:cs="Times New Roman"/>
          <w:sz w:val="24"/>
        </w:rPr>
        <w:t>I-水-03  主要生活、消防给排水设计的水质、水量、水压及与之对应的设备选型不满足规范要求。</w:t>
      </w:r>
    </w:p>
    <w:p w14:paraId="4B40C13F">
      <w:pPr>
        <w:tabs>
          <w:tab w:val="left" w:pos="0"/>
        </w:tabs>
        <w:adjustRightInd w:val="0"/>
        <w:snapToGrid w:val="0"/>
        <w:spacing w:line="360" w:lineRule="auto"/>
        <w:ind w:left="1506" w:leftChars="203" w:hanging="1080" w:hangingChars="450"/>
        <w:jc w:val="left"/>
        <w:rPr>
          <w:rFonts w:hint="eastAsia" w:ascii="宋体" w:hAnsi="宋体" w:eastAsia="宋体" w:cs="Times New Roman"/>
          <w:sz w:val="24"/>
        </w:rPr>
      </w:pPr>
      <w:r>
        <w:rPr>
          <w:rFonts w:hint="eastAsia" w:ascii="宋体" w:hAnsi="宋体" w:eastAsia="宋体" w:cs="Times New Roman"/>
          <w:sz w:val="24"/>
        </w:rPr>
        <w:t>I-水-04  违反规范中的强条，对本专业或其他专业影响大，难以修改或造成重大返工，并会造成严重损失的。</w:t>
      </w:r>
    </w:p>
    <w:p w14:paraId="0E425A3E">
      <w:pPr>
        <w:autoSpaceDE w:val="0"/>
        <w:autoSpaceDN w:val="0"/>
        <w:adjustRightInd w:val="0"/>
        <w:snapToGrid w:val="0"/>
        <w:spacing w:line="360" w:lineRule="auto"/>
        <w:rPr>
          <w:rFonts w:hint="eastAsia" w:ascii="宋体" w:hAnsi="宋体" w:eastAsia="宋体" w:cs="宋体"/>
          <w:b/>
          <w:sz w:val="24"/>
        </w:rPr>
      </w:pPr>
      <w:r>
        <w:rPr>
          <w:rFonts w:hint="eastAsia" w:ascii="宋体" w:hAnsi="宋体" w:eastAsia="宋体" w:cs="宋体"/>
          <w:b/>
          <w:sz w:val="24"/>
        </w:rPr>
        <w:t>【Ⅱ类错误】</w:t>
      </w:r>
    </w:p>
    <w:p w14:paraId="228CB386">
      <w:pPr>
        <w:adjustRightInd w:val="0"/>
        <w:snapToGrid w:val="0"/>
        <w:spacing w:line="360" w:lineRule="auto"/>
        <w:ind w:firstLine="482" w:firstLineChars="200"/>
        <w:rPr>
          <w:rFonts w:hint="eastAsia" w:ascii="宋体" w:hAnsi="宋体" w:eastAsia="宋体" w:cs="Times New Roman"/>
          <w:b/>
          <w:sz w:val="24"/>
        </w:rPr>
      </w:pPr>
      <w:r>
        <w:rPr>
          <w:rFonts w:hint="eastAsia" w:ascii="宋体" w:hAnsi="宋体" w:eastAsia="宋体" w:cs="Times New Roman"/>
          <w:b/>
          <w:sz w:val="24"/>
        </w:rPr>
        <w:t>违反法律、法规及地方性标准，影响建筑功能且不容易修正，或造成施工返工。如：</w:t>
      </w:r>
    </w:p>
    <w:p w14:paraId="0ACFDB99">
      <w:pPr>
        <w:tabs>
          <w:tab w:val="left" w:pos="162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Ⅱ-水-01  违反规范中的强条，但容易修改，且影响不大。</w:t>
      </w:r>
    </w:p>
    <w:p w14:paraId="63282DBC">
      <w:pPr>
        <w:tabs>
          <w:tab w:val="left" w:pos="1620"/>
          <w:tab w:val="left" w:pos="1843"/>
        </w:tabs>
        <w:adjustRightInd w:val="0"/>
        <w:snapToGrid w:val="0"/>
        <w:spacing w:line="360" w:lineRule="auto"/>
        <w:ind w:left="1620" w:leftChars="200" w:hanging="1200" w:hangingChars="500"/>
        <w:jc w:val="left"/>
        <w:rPr>
          <w:rFonts w:hint="eastAsia" w:ascii="宋体" w:hAnsi="宋体" w:eastAsia="宋体" w:cs="Times New Roman"/>
          <w:sz w:val="24"/>
        </w:rPr>
      </w:pPr>
      <w:r>
        <w:rPr>
          <w:rFonts w:hint="eastAsia" w:ascii="宋体" w:hAnsi="宋体" w:eastAsia="宋体" w:cs="Times New Roman"/>
          <w:sz w:val="24"/>
        </w:rPr>
        <w:t>Ⅱ-水-02  主要生活、消防设计文件（含平面、系统、大样、总图）的设计深度严重不足。</w:t>
      </w:r>
    </w:p>
    <w:p w14:paraId="176F6522">
      <w:pPr>
        <w:tabs>
          <w:tab w:val="left" w:pos="162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Ⅱ-水-03  设计文件与市政给排水接驳点的条件不吻合（含平面位置、水压、管径、标高及坡度）。</w:t>
      </w:r>
    </w:p>
    <w:p w14:paraId="2787890B">
      <w:pPr>
        <w:tabs>
          <w:tab w:val="left" w:pos="0"/>
        </w:tabs>
        <w:adjustRightInd w:val="0"/>
        <w:snapToGrid w:val="0"/>
        <w:spacing w:line="360" w:lineRule="auto"/>
        <w:ind w:left="1620" w:leftChars="200" w:hanging="1200" w:hangingChars="500"/>
        <w:jc w:val="left"/>
        <w:rPr>
          <w:rFonts w:hint="eastAsia" w:ascii="宋体" w:hAnsi="宋体" w:eastAsia="宋体" w:cs="Times New Roman"/>
          <w:sz w:val="24"/>
        </w:rPr>
      </w:pPr>
      <w:r>
        <w:rPr>
          <w:rFonts w:hint="eastAsia" w:ascii="宋体" w:hAnsi="宋体" w:eastAsia="宋体" w:cs="Times New Roman"/>
          <w:sz w:val="24"/>
        </w:rPr>
        <w:t>Ⅱ-水-04  生活、消防给水系统的竖向分区及主要减压阀、止回阀的设置不满足规范要求。</w:t>
      </w:r>
    </w:p>
    <w:p w14:paraId="15A12D9C">
      <w:pPr>
        <w:tabs>
          <w:tab w:val="left" w:pos="162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Ⅱ-水-05  主要系统的管材、管径、阀门的选型及布置不满足规范要求。</w:t>
      </w:r>
    </w:p>
    <w:p w14:paraId="635F7F81">
      <w:pPr>
        <w:tabs>
          <w:tab w:val="left" w:pos="162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Ⅱ-水-06  冷热水、直饮水、中水等系统的供水方式不满足规范要求。</w:t>
      </w:r>
    </w:p>
    <w:p w14:paraId="61AB5CCA">
      <w:pPr>
        <w:tabs>
          <w:tab w:val="left" w:pos="162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Ⅱ-水-07  主要污、废水系统（含立管、通气管、低层排水主管、出户管等）设计不满足规范要求。</w:t>
      </w:r>
    </w:p>
    <w:p w14:paraId="0613A4ED">
      <w:pPr>
        <w:tabs>
          <w:tab w:val="left" w:pos="162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Ⅱ-水-08  雨水系统（含立管、雨水斗、溢流口的设置、雨水设计参数设计、地下车道出入口、下沉广场、下沉庭院、下沉天井集水坑设计及雨水排水设备选型）设计 不满足规范要求。</w:t>
      </w:r>
    </w:p>
    <w:p w14:paraId="3AAACF05">
      <w:pPr>
        <w:tabs>
          <w:tab w:val="left" w:pos="162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Ⅱ-水-09  消火栓及消防卷盘的设置不满足规范要求。</w:t>
      </w:r>
    </w:p>
    <w:p w14:paraId="45D4D220">
      <w:pPr>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Ⅱ-水-10  建筑灭火器的消防等级、规格、布置不满足规范要求。</w:t>
      </w:r>
    </w:p>
    <w:p w14:paraId="108DF144">
      <w:pPr>
        <w:adjustRightInd w:val="0"/>
        <w:snapToGrid w:val="0"/>
        <w:spacing w:line="360" w:lineRule="auto"/>
        <w:ind w:left="1620" w:leftChars="200" w:hanging="1200" w:hangingChars="500"/>
        <w:jc w:val="left"/>
        <w:rPr>
          <w:rFonts w:hint="eastAsia" w:ascii="宋体" w:hAnsi="宋体" w:eastAsia="宋体" w:cs="Times New Roman"/>
          <w:sz w:val="24"/>
        </w:rPr>
      </w:pPr>
      <w:r>
        <w:rPr>
          <w:rFonts w:hint="eastAsia" w:ascii="宋体" w:hAnsi="宋体" w:eastAsia="宋体" w:cs="Times New Roman"/>
          <w:sz w:val="24"/>
        </w:rPr>
        <w:t>Ⅱ-水-11  报警阀、水流指示器、试水装置、喷头及水炮的布置等不满足规范要求。</w:t>
      </w:r>
    </w:p>
    <w:p w14:paraId="306D76CD">
      <w:pPr>
        <w:adjustRightInd w:val="0"/>
        <w:snapToGrid w:val="0"/>
        <w:spacing w:line="360" w:lineRule="auto"/>
        <w:ind w:left="1620" w:leftChars="200" w:hanging="1200" w:hangingChars="500"/>
        <w:jc w:val="left"/>
        <w:rPr>
          <w:rFonts w:hint="eastAsia" w:ascii="宋体" w:hAnsi="宋体" w:eastAsia="宋体" w:cs="Times New Roman"/>
          <w:sz w:val="24"/>
        </w:rPr>
      </w:pPr>
      <w:r>
        <w:rPr>
          <w:rFonts w:hint="eastAsia" w:ascii="宋体" w:hAnsi="宋体" w:eastAsia="宋体" w:cs="Times New Roman"/>
          <w:sz w:val="24"/>
        </w:rPr>
        <w:t>Ⅱ-水-12  穿越人防防护墙的管道及防护阀门、防护套管的设置不满足规范要求。</w:t>
      </w:r>
    </w:p>
    <w:p w14:paraId="727359AE">
      <w:pPr>
        <w:autoSpaceDE w:val="0"/>
        <w:autoSpaceDN w:val="0"/>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Ⅱ-水-13  室外消火栓、水泵接合口、消防取水口的设置不满足规范要求。</w:t>
      </w:r>
    </w:p>
    <w:p w14:paraId="4E4465CA">
      <w:pPr>
        <w:autoSpaceDE w:val="0"/>
        <w:autoSpaceDN w:val="0"/>
        <w:adjustRightInd w:val="0"/>
        <w:snapToGrid w:val="0"/>
        <w:spacing w:line="360" w:lineRule="auto"/>
        <w:ind w:left="1698" w:leftChars="202" w:hanging="1274" w:hangingChars="531"/>
        <w:jc w:val="left"/>
        <w:rPr>
          <w:rFonts w:hint="eastAsia" w:ascii="宋体" w:hAnsi="宋体" w:eastAsia="宋体" w:cs="宋体"/>
          <w:b/>
          <w:sz w:val="24"/>
        </w:rPr>
      </w:pPr>
      <w:r>
        <w:rPr>
          <w:rFonts w:hint="eastAsia" w:ascii="宋体" w:hAnsi="宋体" w:eastAsia="宋体" w:cs="Times New Roman"/>
          <w:sz w:val="24"/>
        </w:rPr>
        <w:t>Ⅱ-水-14  主要设备机房排水设计不满足规范要求。</w:t>
      </w:r>
    </w:p>
    <w:p w14:paraId="3101E0B5">
      <w:pPr>
        <w:autoSpaceDE w:val="0"/>
        <w:autoSpaceDN w:val="0"/>
        <w:adjustRightInd w:val="0"/>
        <w:snapToGrid w:val="0"/>
        <w:spacing w:line="360" w:lineRule="auto"/>
        <w:rPr>
          <w:rFonts w:hint="eastAsia" w:ascii="宋体" w:hAnsi="宋体" w:eastAsia="宋体" w:cs="宋体"/>
          <w:b/>
          <w:sz w:val="24"/>
        </w:rPr>
      </w:pPr>
      <w:r>
        <w:rPr>
          <w:rFonts w:hint="eastAsia" w:ascii="宋体" w:hAnsi="宋体" w:eastAsia="宋体" w:cs="宋体"/>
          <w:b/>
          <w:sz w:val="24"/>
        </w:rPr>
        <w:t>【III类错误】</w:t>
      </w:r>
    </w:p>
    <w:p w14:paraId="30164FEE">
      <w:pPr>
        <w:adjustRightInd w:val="0"/>
        <w:snapToGrid w:val="0"/>
        <w:spacing w:line="360" w:lineRule="auto"/>
        <w:ind w:firstLine="482" w:firstLineChars="200"/>
        <w:rPr>
          <w:rFonts w:hint="eastAsia" w:ascii="宋体" w:hAnsi="宋体" w:eastAsia="宋体" w:cs="Times New Roman"/>
          <w:sz w:val="24"/>
        </w:rPr>
      </w:pPr>
      <w:r>
        <w:rPr>
          <w:rFonts w:hint="eastAsia" w:ascii="宋体" w:hAnsi="宋体" w:eastAsia="宋体" w:cs="Times New Roman"/>
          <w:b/>
          <w:sz w:val="24"/>
        </w:rPr>
        <w:t>局部违反法律、法规及地方性标准，设计图面及工种配合中的一般性错误或遗漏且容易修正。如：</w:t>
      </w:r>
    </w:p>
    <w:p w14:paraId="63051E92">
      <w:pPr>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Ⅲ-水-01 选用已废止的国标图集、规范。</w:t>
      </w:r>
    </w:p>
    <w:p w14:paraId="5672C152">
      <w:pPr>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Ⅲ-水-02 主要设备器材统计漏项或参数错误。</w:t>
      </w:r>
    </w:p>
    <w:p w14:paraId="0B6F516A">
      <w:pPr>
        <w:adjustRightInd w:val="0"/>
        <w:snapToGrid w:val="0"/>
        <w:spacing w:line="360" w:lineRule="auto"/>
        <w:ind w:left="1557" w:leftChars="201" w:hanging="1135" w:hangingChars="473"/>
        <w:jc w:val="left"/>
        <w:rPr>
          <w:rFonts w:hint="eastAsia" w:ascii="宋体" w:hAnsi="宋体" w:eastAsia="宋体" w:cs="Times New Roman"/>
          <w:sz w:val="24"/>
        </w:rPr>
      </w:pPr>
      <w:r>
        <w:rPr>
          <w:rFonts w:hint="eastAsia" w:ascii="宋体" w:hAnsi="宋体" w:eastAsia="宋体" w:cs="Times New Roman"/>
          <w:sz w:val="24"/>
        </w:rPr>
        <w:t>Ⅲ-水-03 设计说明表达不全、矛盾或有遗漏（含工程概况、主要设计参数及各系统阐述、管材及接口、阀门及阀件、管道敷设及试压、管道防腐保温做法、节能及绿建阐述）。</w:t>
      </w:r>
    </w:p>
    <w:p w14:paraId="48931531">
      <w:pPr>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Ⅲ-水-04 平面、系统、大样图、总图之间表达不一致。</w:t>
      </w:r>
    </w:p>
    <w:p w14:paraId="4DA0CFCB">
      <w:pPr>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Ⅲ-水-05 给水、消防系统的管径、阀门、计量、减压设置不当。</w:t>
      </w:r>
    </w:p>
    <w:p w14:paraId="2D50742A">
      <w:pPr>
        <w:adjustRightInd w:val="0"/>
        <w:snapToGrid w:val="0"/>
        <w:spacing w:line="360" w:lineRule="auto"/>
        <w:ind w:left="1557" w:leftChars="201" w:hanging="1135" w:hangingChars="473"/>
        <w:jc w:val="left"/>
        <w:rPr>
          <w:rFonts w:hint="eastAsia" w:ascii="宋体" w:hAnsi="宋体" w:eastAsia="宋体" w:cs="Times New Roman"/>
          <w:sz w:val="24"/>
        </w:rPr>
      </w:pPr>
      <w:r>
        <w:rPr>
          <w:rFonts w:hint="eastAsia" w:ascii="宋体" w:hAnsi="宋体" w:eastAsia="宋体" w:cs="Times New Roman"/>
          <w:sz w:val="24"/>
        </w:rPr>
        <w:t>Ⅲ-水-06 排水系统中的通气管、检查口、清扫口或出户管的标高、位置设置错误。</w:t>
      </w:r>
    </w:p>
    <w:p w14:paraId="02854BCC">
      <w:pPr>
        <w:adjustRightInd w:val="0"/>
        <w:snapToGrid w:val="0"/>
        <w:spacing w:line="360" w:lineRule="auto"/>
        <w:ind w:left="1557" w:leftChars="201" w:hanging="1135" w:hangingChars="473"/>
        <w:jc w:val="left"/>
        <w:rPr>
          <w:rFonts w:hint="eastAsia" w:ascii="宋体" w:hAnsi="宋体" w:eastAsia="宋体" w:cs="Times New Roman"/>
          <w:sz w:val="24"/>
        </w:rPr>
      </w:pPr>
      <w:r>
        <w:rPr>
          <w:rFonts w:hint="eastAsia" w:ascii="宋体" w:hAnsi="宋体" w:eastAsia="宋体" w:cs="Times New Roman"/>
          <w:sz w:val="24"/>
        </w:rPr>
        <w:t>Ⅲ-水-07 主要设备机房、地下车库、人防工程排水集水坑设计及设备选型不合理。</w:t>
      </w:r>
    </w:p>
    <w:p w14:paraId="4EB99119">
      <w:pPr>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Ⅲ-水-08 平面管道标高、管径或接管错误。</w:t>
      </w:r>
    </w:p>
    <w:p w14:paraId="40004A92">
      <w:pPr>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Ⅲ-水-09 管网布置及阀门位置设计不当。</w:t>
      </w:r>
    </w:p>
    <w:p w14:paraId="66398F64">
      <w:pPr>
        <w:adjustRightInd w:val="0"/>
        <w:snapToGrid w:val="0"/>
        <w:spacing w:line="360" w:lineRule="auto"/>
        <w:ind w:left="1557" w:leftChars="201" w:hanging="1135" w:hangingChars="473"/>
        <w:jc w:val="left"/>
        <w:rPr>
          <w:rFonts w:hint="eastAsia" w:ascii="宋体" w:hAnsi="宋体" w:eastAsia="宋体" w:cs="Times New Roman"/>
          <w:sz w:val="24"/>
        </w:rPr>
      </w:pPr>
      <w:r>
        <w:rPr>
          <w:rFonts w:hint="eastAsia" w:ascii="宋体" w:hAnsi="宋体" w:eastAsia="宋体" w:cs="Times New Roman"/>
          <w:sz w:val="24"/>
        </w:rPr>
        <w:t>Ⅲ-水-10 局部位置（厨房、空调机房、报警阀间、水景、游泳池等）未设给排水接口或设置不当。</w:t>
      </w:r>
    </w:p>
    <w:p w14:paraId="493ECCB0">
      <w:pPr>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Ⅲ-水-11 局部位置的消火栓及喷头漏设或设置不当。</w:t>
      </w:r>
    </w:p>
    <w:p w14:paraId="093F6238">
      <w:pPr>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Ⅲ-水-12 穿梁（柱）、穿地下室外墙、顶板、穿水池侧壁的管道漏设套管。</w:t>
      </w:r>
    </w:p>
    <w:p w14:paraId="5FA7AF7F">
      <w:pPr>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Ⅲ-水-13 给排水管道或设施影响门窗开启、人车通行或与其它专业冲突。</w:t>
      </w:r>
    </w:p>
    <w:p w14:paraId="3F047AF8">
      <w:pPr>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Ⅲ-水-14 给排水设备机房、管井检修空间不够。</w:t>
      </w:r>
    </w:p>
    <w:p w14:paraId="29EE6226">
      <w:pPr>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Ⅲ-水-15 室外管道或设施设置不合理，局部管道交叉标高冲突。</w:t>
      </w:r>
    </w:p>
    <w:p w14:paraId="39380E6B">
      <w:pPr>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Ⅲ-水-16 图例与设计图纸不吻合。</w:t>
      </w:r>
    </w:p>
    <w:p w14:paraId="368DE4B5">
      <w:pPr>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Ⅲ-水-17 图纸目录不全或设计图纸名称、编号与图纸目录不吻合。</w:t>
      </w:r>
    </w:p>
    <w:p w14:paraId="7C8BB251">
      <w:pPr>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Ⅲ-水-18 漏注主要设计尺寸或尺寸标注错误。</w:t>
      </w:r>
    </w:p>
    <w:p w14:paraId="1644C0F8">
      <w:pPr>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Ⅲ-水-19 给排水建筑底图与建筑专业图纸不符。</w:t>
      </w:r>
    </w:p>
    <w:p w14:paraId="66ABA12A">
      <w:pPr>
        <w:tabs>
          <w:tab w:val="left" w:pos="1620"/>
          <w:tab w:val="left" w:pos="180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Ⅲ-水-20 与建筑、结构、电气、空调专业条件不一致，造成较小安全隐患。</w:t>
      </w:r>
    </w:p>
    <w:p w14:paraId="6152B580">
      <w:pPr>
        <w:tabs>
          <w:tab w:val="left" w:pos="4845"/>
        </w:tabs>
        <w:adjustRightInd w:val="0"/>
        <w:snapToGrid w:val="0"/>
        <w:spacing w:line="360" w:lineRule="auto"/>
        <w:rPr>
          <w:rFonts w:hint="eastAsia" w:ascii="宋体" w:hAnsi="宋体" w:eastAsia="宋体" w:cs="Times New Roman"/>
        </w:rPr>
      </w:pPr>
    </w:p>
    <w:p w14:paraId="3D09E942">
      <w:pPr>
        <w:autoSpaceDE w:val="0"/>
        <w:autoSpaceDN w:val="0"/>
        <w:adjustRightInd w:val="0"/>
        <w:snapToGrid w:val="0"/>
        <w:spacing w:line="360" w:lineRule="auto"/>
        <w:ind w:firstLine="321" w:firstLineChars="100"/>
        <w:jc w:val="left"/>
        <w:rPr>
          <w:rFonts w:hint="eastAsia" w:ascii="宋体" w:hAnsi="宋体" w:eastAsia="宋体" w:cs="宋体"/>
          <w:b/>
          <w:sz w:val="32"/>
          <w:szCs w:val="32"/>
        </w:rPr>
      </w:pPr>
      <w:r>
        <w:rPr>
          <w:rFonts w:hint="eastAsia" w:ascii="宋体" w:hAnsi="宋体" w:eastAsia="宋体" w:cs="宋体"/>
          <w:b/>
          <w:sz w:val="32"/>
          <w:szCs w:val="32"/>
        </w:rPr>
        <w:t>四、电气专业施工图精细化审图错误分类</w:t>
      </w:r>
    </w:p>
    <w:p w14:paraId="4046692F">
      <w:pPr>
        <w:autoSpaceDE w:val="0"/>
        <w:autoSpaceDN w:val="0"/>
        <w:adjustRightInd w:val="0"/>
        <w:snapToGrid w:val="0"/>
        <w:spacing w:line="360" w:lineRule="auto"/>
        <w:rPr>
          <w:rFonts w:hint="eastAsia" w:ascii="宋体" w:hAnsi="宋体" w:eastAsia="宋体" w:cs="宋体"/>
          <w:b/>
          <w:sz w:val="24"/>
        </w:rPr>
      </w:pPr>
      <w:r>
        <w:rPr>
          <w:rFonts w:hint="eastAsia" w:ascii="宋体" w:hAnsi="宋体" w:eastAsia="宋体" w:cs="宋体"/>
          <w:b/>
          <w:sz w:val="24"/>
        </w:rPr>
        <w:t>【Ⅰ类错误】</w:t>
      </w:r>
    </w:p>
    <w:p w14:paraId="683E129A">
      <w:pPr>
        <w:adjustRightInd w:val="0"/>
        <w:snapToGrid w:val="0"/>
        <w:spacing w:line="360" w:lineRule="auto"/>
        <w:ind w:firstLine="453" w:firstLineChars="188"/>
        <w:rPr>
          <w:rFonts w:hint="eastAsia" w:ascii="宋体" w:hAnsi="宋体" w:eastAsia="宋体" w:cs="Times New Roman"/>
          <w:b/>
          <w:sz w:val="24"/>
        </w:rPr>
      </w:pPr>
      <w:r>
        <w:rPr>
          <w:rFonts w:hint="eastAsia" w:ascii="宋体" w:hAnsi="宋体" w:eastAsia="宋体" w:cs="Times New Roman"/>
          <w:b/>
          <w:sz w:val="24"/>
        </w:rPr>
        <w:t>严重违反法律、法规及地方性标准。存在严重安全隐患，或可能造成重大施工返工及重大经济损失。如:</w:t>
      </w:r>
    </w:p>
    <w:p w14:paraId="305C98AE">
      <w:pPr>
        <w:tabs>
          <w:tab w:val="left" w:pos="1620"/>
          <w:tab w:val="left" w:pos="1800"/>
        </w:tabs>
        <w:adjustRightInd w:val="0"/>
        <w:snapToGrid w:val="0"/>
        <w:spacing w:line="360" w:lineRule="auto"/>
        <w:ind w:left="1976" w:leftChars="203" w:hanging="1550" w:hangingChars="646"/>
        <w:rPr>
          <w:rFonts w:hint="eastAsia" w:ascii="宋体" w:hAnsi="宋体" w:eastAsia="宋体" w:cs="Times New Roman"/>
          <w:sz w:val="24"/>
        </w:rPr>
      </w:pPr>
      <w:r>
        <w:rPr>
          <w:rFonts w:hint="eastAsia" w:ascii="宋体" w:hAnsi="宋体" w:eastAsia="宋体" w:cs="Times New Roman"/>
          <w:sz w:val="24"/>
        </w:rPr>
        <w:t>I-电-01  违反强条，并会造成严重损失的。</w:t>
      </w:r>
    </w:p>
    <w:p w14:paraId="6B5A12EA">
      <w:pPr>
        <w:tabs>
          <w:tab w:val="left" w:pos="1620"/>
          <w:tab w:val="left" w:pos="1800"/>
        </w:tabs>
        <w:adjustRightInd w:val="0"/>
        <w:snapToGrid w:val="0"/>
        <w:spacing w:line="360" w:lineRule="auto"/>
        <w:ind w:left="1976" w:leftChars="203" w:hanging="1550" w:hangingChars="646"/>
        <w:rPr>
          <w:rFonts w:hint="eastAsia" w:ascii="宋体" w:hAnsi="宋体" w:eastAsia="宋体" w:cs="Times New Roman"/>
          <w:sz w:val="24"/>
        </w:rPr>
      </w:pPr>
      <w:r>
        <w:rPr>
          <w:rFonts w:hint="eastAsia" w:ascii="宋体" w:hAnsi="宋体" w:eastAsia="宋体" w:cs="Times New Roman"/>
          <w:sz w:val="24"/>
        </w:rPr>
        <w:t>I-电-02  配电方案有严重缺陷。</w:t>
      </w:r>
    </w:p>
    <w:p w14:paraId="799494B0">
      <w:pPr>
        <w:tabs>
          <w:tab w:val="left" w:pos="1620"/>
          <w:tab w:val="left" w:pos="1800"/>
        </w:tabs>
        <w:adjustRightInd w:val="0"/>
        <w:snapToGrid w:val="0"/>
        <w:spacing w:line="360" w:lineRule="auto"/>
        <w:ind w:left="1976" w:leftChars="203" w:hanging="1550" w:hangingChars="646"/>
        <w:rPr>
          <w:rFonts w:hint="eastAsia" w:ascii="宋体" w:hAnsi="宋体" w:eastAsia="宋体" w:cs="Times New Roman"/>
          <w:sz w:val="24"/>
        </w:rPr>
      </w:pPr>
      <w:r>
        <w:rPr>
          <w:rFonts w:hint="eastAsia" w:ascii="宋体" w:hAnsi="宋体" w:eastAsia="宋体" w:cs="Times New Roman"/>
          <w:sz w:val="24"/>
        </w:rPr>
        <w:t>I-电-03  变配电所、发电机房的设置楼层不对，发电机房未设进排风口。</w:t>
      </w:r>
    </w:p>
    <w:p w14:paraId="5419238A">
      <w:pPr>
        <w:tabs>
          <w:tab w:val="left" w:pos="1620"/>
          <w:tab w:val="left" w:pos="1800"/>
        </w:tabs>
        <w:adjustRightInd w:val="0"/>
        <w:snapToGrid w:val="0"/>
        <w:spacing w:line="360" w:lineRule="auto"/>
        <w:ind w:left="1976" w:leftChars="203" w:hanging="1550" w:hangingChars="646"/>
        <w:rPr>
          <w:rFonts w:hint="eastAsia" w:ascii="宋体" w:hAnsi="宋体" w:eastAsia="宋体" w:cs="Times New Roman"/>
          <w:sz w:val="24"/>
        </w:rPr>
      </w:pPr>
      <w:r>
        <w:rPr>
          <w:rFonts w:hint="eastAsia" w:ascii="宋体" w:hAnsi="宋体" w:eastAsia="宋体" w:cs="Times New Roman"/>
          <w:sz w:val="24"/>
        </w:rPr>
        <w:t>I-电-04  配电开关整定值偏大，保护不了电缆。</w:t>
      </w:r>
    </w:p>
    <w:p w14:paraId="63754BDC">
      <w:pPr>
        <w:tabs>
          <w:tab w:val="left" w:pos="1620"/>
          <w:tab w:val="left" w:pos="1800"/>
        </w:tabs>
        <w:adjustRightInd w:val="0"/>
        <w:snapToGrid w:val="0"/>
        <w:spacing w:line="360" w:lineRule="auto"/>
        <w:ind w:left="1976" w:leftChars="203" w:hanging="1550" w:hangingChars="646"/>
        <w:rPr>
          <w:rFonts w:hint="eastAsia" w:ascii="宋体" w:hAnsi="宋体" w:eastAsia="宋体" w:cs="Times New Roman"/>
          <w:sz w:val="24"/>
        </w:rPr>
      </w:pPr>
      <w:r>
        <w:rPr>
          <w:rFonts w:hint="eastAsia" w:ascii="宋体" w:hAnsi="宋体" w:eastAsia="宋体" w:cs="Times New Roman"/>
          <w:sz w:val="24"/>
        </w:rPr>
        <w:t>I-电-05  低压配电开关短路容量满足不了系统要求。</w:t>
      </w:r>
    </w:p>
    <w:p w14:paraId="25EC11E3">
      <w:pPr>
        <w:tabs>
          <w:tab w:val="left" w:pos="1620"/>
          <w:tab w:val="left" w:pos="1800"/>
        </w:tabs>
        <w:adjustRightInd w:val="0"/>
        <w:snapToGrid w:val="0"/>
        <w:spacing w:line="360" w:lineRule="auto"/>
        <w:ind w:left="1976" w:leftChars="203" w:hanging="1550" w:hangingChars="646"/>
        <w:rPr>
          <w:rFonts w:hint="eastAsia" w:ascii="宋体" w:hAnsi="宋体" w:eastAsia="宋体" w:cs="Times New Roman"/>
          <w:sz w:val="24"/>
        </w:rPr>
      </w:pPr>
      <w:r>
        <w:rPr>
          <w:rFonts w:hint="eastAsia" w:ascii="宋体" w:hAnsi="宋体" w:eastAsia="宋体" w:cs="Times New Roman"/>
          <w:sz w:val="24"/>
        </w:rPr>
        <w:t>I-电-06  未设总等电位联结。</w:t>
      </w:r>
    </w:p>
    <w:p w14:paraId="6C76F892">
      <w:pPr>
        <w:autoSpaceDE w:val="0"/>
        <w:autoSpaceDN w:val="0"/>
        <w:adjustRightInd w:val="0"/>
        <w:snapToGrid w:val="0"/>
        <w:spacing w:line="360" w:lineRule="auto"/>
        <w:rPr>
          <w:rFonts w:hint="eastAsia" w:ascii="宋体" w:hAnsi="宋体" w:eastAsia="宋体" w:cs="宋体"/>
          <w:b/>
          <w:sz w:val="24"/>
        </w:rPr>
      </w:pPr>
      <w:r>
        <w:rPr>
          <w:rFonts w:hint="eastAsia" w:ascii="宋体" w:hAnsi="宋体" w:eastAsia="宋体" w:cs="宋体"/>
          <w:b/>
          <w:sz w:val="24"/>
        </w:rPr>
        <w:t>【Ⅱ类错误】</w:t>
      </w:r>
    </w:p>
    <w:p w14:paraId="2B2AE157">
      <w:pPr>
        <w:adjustRightInd w:val="0"/>
        <w:snapToGrid w:val="0"/>
        <w:spacing w:line="360" w:lineRule="auto"/>
        <w:ind w:firstLine="453" w:firstLineChars="188"/>
        <w:rPr>
          <w:rFonts w:hint="eastAsia" w:ascii="宋体" w:hAnsi="宋体" w:eastAsia="宋体" w:cs="Times New Roman"/>
          <w:b/>
          <w:sz w:val="24"/>
        </w:rPr>
      </w:pPr>
      <w:r>
        <w:rPr>
          <w:rFonts w:hint="eastAsia" w:ascii="宋体" w:hAnsi="宋体" w:eastAsia="宋体" w:cs="Times New Roman"/>
          <w:b/>
          <w:sz w:val="24"/>
        </w:rPr>
        <w:t>违反法律、法规及地方性标准，影响建筑功能且不容易修正，或造成施工返工。如：</w:t>
      </w:r>
    </w:p>
    <w:p w14:paraId="27139A74">
      <w:pPr>
        <w:tabs>
          <w:tab w:val="left" w:pos="1620"/>
          <w:tab w:val="left" w:pos="180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Ⅱ-电-01 违反强条，不至于造成严重损失的。</w:t>
      </w:r>
    </w:p>
    <w:p w14:paraId="3619116F">
      <w:pPr>
        <w:tabs>
          <w:tab w:val="left" w:pos="1620"/>
          <w:tab w:val="left" w:pos="180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Ⅱ-电-02 负荷等级定位低于规范要求。</w:t>
      </w:r>
    </w:p>
    <w:p w14:paraId="7ABE9920">
      <w:pPr>
        <w:tabs>
          <w:tab w:val="left" w:pos="1620"/>
          <w:tab w:val="left" w:pos="180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Ⅱ-电-03 防雷设防等级低于规范要求。</w:t>
      </w:r>
    </w:p>
    <w:p w14:paraId="7D055D9A">
      <w:pPr>
        <w:tabs>
          <w:tab w:val="left" w:pos="1620"/>
          <w:tab w:val="left" w:pos="180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Ⅱ-电-04 发电机进、排风有效面积满足不了机组正常运行要求。</w:t>
      </w:r>
    </w:p>
    <w:p w14:paraId="51E4DC3F">
      <w:pPr>
        <w:tabs>
          <w:tab w:val="left" w:pos="1620"/>
          <w:tab w:val="left" w:pos="180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Ⅱ-电-05 变配电所设置位置不当。</w:t>
      </w:r>
    </w:p>
    <w:p w14:paraId="53E24E1A">
      <w:pPr>
        <w:tabs>
          <w:tab w:val="left" w:pos="1620"/>
          <w:tab w:val="left" w:pos="180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Ⅱ-电-06 未考虑大型电气设备运输。</w:t>
      </w:r>
    </w:p>
    <w:p w14:paraId="2BDB26E5">
      <w:pPr>
        <w:tabs>
          <w:tab w:val="left" w:pos="1620"/>
          <w:tab w:val="left" w:pos="180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Ⅱ-电-07 未按规范要求设置用电分项计量。</w:t>
      </w:r>
    </w:p>
    <w:p w14:paraId="116FE4CE">
      <w:pPr>
        <w:tabs>
          <w:tab w:val="left" w:pos="1620"/>
          <w:tab w:val="left" w:pos="180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Ⅱ-电-08 与给排水、空调专业不一致，会造成电气事故的。</w:t>
      </w:r>
    </w:p>
    <w:p w14:paraId="0CA95C80">
      <w:pPr>
        <w:tabs>
          <w:tab w:val="left" w:pos="1620"/>
          <w:tab w:val="left" w:pos="180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Ⅱ-电-09 电气系统图之间不一致，会造成电气事故的。</w:t>
      </w:r>
    </w:p>
    <w:p w14:paraId="584E4DAD">
      <w:pPr>
        <w:tabs>
          <w:tab w:val="left" w:pos="1620"/>
          <w:tab w:val="left" w:pos="180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Ⅱ-电-10 局部等电位不满足规范要求。</w:t>
      </w:r>
    </w:p>
    <w:p w14:paraId="4F06C202">
      <w:pPr>
        <w:tabs>
          <w:tab w:val="left" w:pos="1620"/>
          <w:tab w:val="left" w:pos="180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Ⅱ-电-11 未按规范要求设置安全型插座。</w:t>
      </w:r>
    </w:p>
    <w:p w14:paraId="514DB099">
      <w:pPr>
        <w:tabs>
          <w:tab w:val="left" w:pos="1620"/>
          <w:tab w:val="left" w:pos="180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Ⅱ-电-12 照明照度值、LPD值不符合强条、规范要求。</w:t>
      </w:r>
    </w:p>
    <w:p w14:paraId="2C7CD0AC">
      <w:pPr>
        <w:tabs>
          <w:tab w:val="left" w:pos="1620"/>
          <w:tab w:val="left" w:pos="180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Ⅱ-电-13 消防应急照明设置不符合规范要求。</w:t>
      </w:r>
    </w:p>
    <w:p w14:paraId="4B5E3053">
      <w:pPr>
        <w:tabs>
          <w:tab w:val="left" w:pos="1620"/>
          <w:tab w:val="left" w:pos="180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Ⅱ-电-14 消防设备配电不符合规范要求。</w:t>
      </w:r>
    </w:p>
    <w:p w14:paraId="7770B1D2">
      <w:pPr>
        <w:tabs>
          <w:tab w:val="left" w:pos="1620"/>
          <w:tab w:val="left" w:pos="180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Ⅱ-电-15 消防线路选型，敷设不满足规范要求。</w:t>
      </w:r>
    </w:p>
    <w:p w14:paraId="3962C50B">
      <w:pPr>
        <w:tabs>
          <w:tab w:val="left" w:pos="1620"/>
          <w:tab w:val="left" w:pos="1800"/>
        </w:tabs>
        <w:adjustRightInd w:val="0"/>
        <w:snapToGrid w:val="0"/>
        <w:spacing w:line="360" w:lineRule="auto"/>
        <w:ind w:left="1620" w:leftChars="200" w:hanging="1200" w:hangingChars="500"/>
        <w:jc w:val="left"/>
        <w:rPr>
          <w:rFonts w:hint="eastAsia" w:ascii="宋体" w:hAnsi="宋体" w:eastAsia="宋体" w:cs="Times New Roman"/>
          <w:sz w:val="24"/>
        </w:rPr>
      </w:pPr>
      <w:r>
        <w:rPr>
          <w:rFonts w:hint="eastAsia" w:ascii="宋体" w:hAnsi="宋体" w:eastAsia="宋体" w:cs="Times New Roman"/>
          <w:sz w:val="24"/>
        </w:rPr>
        <w:t>Ⅱ-电-16 消防系统缺项：未设防火门监控系统，未设消防电源监控系统等。</w:t>
      </w:r>
    </w:p>
    <w:p w14:paraId="1D2E054C">
      <w:pPr>
        <w:tabs>
          <w:tab w:val="left" w:pos="1620"/>
          <w:tab w:val="left" w:pos="1800"/>
        </w:tabs>
        <w:adjustRightInd w:val="0"/>
        <w:snapToGrid w:val="0"/>
        <w:spacing w:line="360" w:lineRule="auto"/>
        <w:ind w:left="1698" w:leftChars="202" w:hanging="1274" w:hangingChars="531"/>
        <w:jc w:val="left"/>
        <w:rPr>
          <w:rFonts w:hint="eastAsia" w:ascii="宋体" w:hAnsi="宋体" w:eastAsia="宋体" w:cs="Times New Roman"/>
          <w:sz w:val="24"/>
        </w:rPr>
      </w:pPr>
      <w:r>
        <w:rPr>
          <w:rFonts w:hint="eastAsia" w:ascii="宋体" w:hAnsi="宋体" w:eastAsia="宋体" w:cs="Times New Roman"/>
          <w:sz w:val="24"/>
        </w:rPr>
        <w:t>Ⅱ-电-17 未按规范要求设电气漏电火灾监控系统。</w:t>
      </w:r>
    </w:p>
    <w:p w14:paraId="098E0755">
      <w:pPr>
        <w:autoSpaceDE w:val="0"/>
        <w:autoSpaceDN w:val="0"/>
        <w:adjustRightInd w:val="0"/>
        <w:snapToGrid w:val="0"/>
        <w:spacing w:line="360" w:lineRule="auto"/>
        <w:rPr>
          <w:rFonts w:hint="eastAsia" w:ascii="宋体" w:hAnsi="宋体" w:eastAsia="宋体" w:cs="宋体"/>
          <w:b/>
          <w:sz w:val="24"/>
        </w:rPr>
      </w:pPr>
      <w:r>
        <w:rPr>
          <w:rFonts w:hint="eastAsia" w:ascii="宋体" w:hAnsi="宋体" w:eastAsia="宋体" w:cs="宋体"/>
          <w:b/>
          <w:sz w:val="24"/>
        </w:rPr>
        <w:t>【Ⅲ类错误】</w:t>
      </w:r>
    </w:p>
    <w:p w14:paraId="28BC0FBD">
      <w:pPr>
        <w:adjustRightInd w:val="0"/>
        <w:snapToGrid w:val="0"/>
        <w:spacing w:line="360" w:lineRule="auto"/>
        <w:ind w:firstLine="472" w:firstLineChars="196"/>
        <w:rPr>
          <w:rFonts w:hint="eastAsia" w:ascii="宋体" w:hAnsi="宋体" w:eastAsia="宋体" w:cs="Times New Roman"/>
          <w:sz w:val="24"/>
        </w:rPr>
      </w:pPr>
      <w:r>
        <w:rPr>
          <w:rFonts w:hint="eastAsia" w:ascii="宋体" w:hAnsi="宋体" w:eastAsia="宋体" w:cs="Times New Roman"/>
          <w:b/>
          <w:sz w:val="24"/>
        </w:rPr>
        <w:t>局部违反法律、法规及地方性标准，设计图面及工种配合中的一般性错误或遗漏且容易修正。如：</w:t>
      </w:r>
    </w:p>
    <w:p w14:paraId="51B4808E">
      <w:pPr>
        <w:tabs>
          <w:tab w:val="left" w:pos="1620"/>
          <w:tab w:val="left" w:pos="1701"/>
        </w:tabs>
        <w:adjustRightInd w:val="0"/>
        <w:snapToGrid w:val="0"/>
        <w:spacing w:line="360" w:lineRule="auto"/>
        <w:ind w:left="1813" w:leftChars="203" w:hanging="1387" w:hangingChars="578"/>
        <w:jc w:val="left"/>
        <w:rPr>
          <w:rFonts w:hint="eastAsia" w:ascii="宋体" w:hAnsi="宋体" w:eastAsia="宋体" w:cs="Times New Roman"/>
          <w:sz w:val="24"/>
        </w:rPr>
      </w:pPr>
      <w:r>
        <w:rPr>
          <w:rFonts w:hint="eastAsia" w:ascii="宋体" w:hAnsi="宋体" w:eastAsia="宋体" w:cs="Times New Roman"/>
          <w:sz w:val="24"/>
        </w:rPr>
        <w:t>Ⅲ-电-01  缺计算书或计算书不全。</w:t>
      </w:r>
    </w:p>
    <w:p w14:paraId="14B49896">
      <w:pPr>
        <w:tabs>
          <w:tab w:val="left" w:pos="1620"/>
          <w:tab w:val="left" w:pos="1701"/>
        </w:tabs>
        <w:adjustRightInd w:val="0"/>
        <w:snapToGrid w:val="0"/>
        <w:spacing w:line="360" w:lineRule="auto"/>
        <w:ind w:left="1813" w:leftChars="203" w:hanging="1387" w:hangingChars="578"/>
        <w:jc w:val="left"/>
        <w:rPr>
          <w:rFonts w:hint="eastAsia" w:ascii="宋体" w:hAnsi="宋体" w:eastAsia="宋体" w:cs="Times New Roman"/>
          <w:sz w:val="24"/>
        </w:rPr>
      </w:pPr>
      <w:r>
        <w:rPr>
          <w:rFonts w:hint="eastAsia" w:ascii="宋体" w:hAnsi="宋体" w:eastAsia="宋体" w:cs="Times New Roman"/>
          <w:sz w:val="24"/>
        </w:rPr>
        <w:t>Ⅲ-电-02  图纸目录不全。</w:t>
      </w:r>
    </w:p>
    <w:p w14:paraId="6F4E7387">
      <w:pPr>
        <w:tabs>
          <w:tab w:val="left" w:pos="1620"/>
          <w:tab w:val="left" w:pos="1701"/>
        </w:tabs>
        <w:adjustRightInd w:val="0"/>
        <w:snapToGrid w:val="0"/>
        <w:spacing w:line="360" w:lineRule="auto"/>
        <w:ind w:left="1813" w:leftChars="203" w:hanging="1387" w:hangingChars="578"/>
        <w:jc w:val="left"/>
        <w:rPr>
          <w:rFonts w:hint="eastAsia" w:ascii="宋体" w:hAnsi="宋体" w:eastAsia="宋体" w:cs="Times New Roman"/>
          <w:sz w:val="24"/>
        </w:rPr>
      </w:pPr>
      <w:r>
        <w:rPr>
          <w:rFonts w:hint="eastAsia" w:ascii="宋体" w:hAnsi="宋体" w:eastAsia="宋体" w:cs="Times New Roman"/>
          <w:sz w:val="24"/>
        </w:rPr>
        <w:t>Ⅲ-电-03  图面表达不清楚或不全。</w:t>
      </w:r>
    </w:p>
    <w:p w14:paraId="2FB2F55C">
      <w:pPr>
        <w:tabs>
          <w:tab w:val="left" w:pos="1620"/>
          <w:tab w:val="left" w:pos="1701"/>
        </w:tabs>
        <w:adjustRightInd w:val="0"/>
        <w:snapToGrid w:val="0"/>
        <w:spacing w:line="360" w:lineRule="auto"/>
        <w:ind w:left="1813" w:leftChars="203" w:hanging="1387" w:hangingChars="578"/>
        <w:jc w:val="left"/>
        <w:rPr>
          <w:rFonts w:hint="eastAsia" w:ascii="宋体" w:hAnsi="宋体" w:eastAsia="宋体" w:cs="Times New Roman"/>
          <w:sz w:val="24"/>
        </w:rPr>
      </w:pPr>
      <w:r>
        <w:rPr>
          <w:rFonts w:hint="eastAsia" w:ascii="宋体" w:hAnsi="宋体" w:eastAsia="宋体" w:cs="Times New Roman"/>
          <w:sz w:val="24"/>
        </w:rPr>
        <w:t>Ⅲ-电-04  平、剖面图不一致。</w:t>
      </w:r>
    </w:p>
    <w:p w14:paraId="7F7B92E0">
      <w:pPr>
        <w:tabs>
          <w:tab w:val="left" w:pos="1620"/>
          <w:tab w:val="left" w:pos="1701"/>
        </w:tabs>
        <w:adjustRightInd w:val="0"/>
        <w:snapToGrid w:val="0"/>
        <w:spacing w:line="360" w:lineRule="auto"/>
        <w:ind w:left="1813" w:leftChars="203" w:hanging="1387" w:hangingChars="578"/>
        <w:jc w:val="left"/>
        <w:rPr>
          <w:rFonts w:hint="eastAsia" w:ascii="宋体" w:hAnsi="宋体" w:eastAsia="宋体" w:cs="Times New Roman"/>
          <w:sz w:val="24"/>
        </w:rPr>
      </w:pPr>
      <w:r>
        <w:rPr>
          <w:rFonts w:hint="eastAsia" w:ascii="宋体" w:hAnsi="宋体" w:eastAsia="宋体" w:cs="Times New Roman"/>
          <w:sz w:val="24"/>
        </w:rPr>
        <w:t>Ⅲ-电-05  机房尺寸、设备尺寸等错误或不全。</w:t>
      </w:r>
    </w:p>
    <w:p w14:paraId="42BE8E04">
      <w:pPr>
        <w:tabs>
          <w:tab w:val="left" w:pos="1620"/>
          <w:tab w:val="left" w:pos="1701"/>
        </w:tabs>
        <w:adjustRightInd w:val="0"/>
        <w:snapToGrid w:val="0"/>
        <w:spacing w:line="360" w:lineRule="auto"/>
        <w:ind w:left="1813" w:leftChars="203" w:hanging="1387" w:hangingChars="578"/>
        <w:jc w:val="left"/>
        <w:rPr>
          <w:rFonts w:hint="eastAsia" w:ascii="宋体" w:hAnsi="宋体" w:eastAsia="宋体" w:cs="Times New Roman"/>
          <w:sz w:val="24"/>
        </w:rPr>
      </w:pPr>
      <w:r>
        <w:rPr>
          <w:rFonts w:hint="eastAsia" w:ascii="宋体" w:hAnsi="宋体" w:eastAsia="宋体" w:cs="Times New Roman"/>
          <w:sz w:val="24"/>
        </w:rPr>
        <w:t>Ⅲ-电-06  图例或符号不一致或不全。</w:t>
      </w:r>
    </w:p>
    <w:p w14:paraId="235B05FF">
      <w:pPr>
        <w:tabs>
          <w:tab w:val="left" w:pos="1620"/>
          <w:tab w:val="left" w:pos="1701"/>
        </w:tabs>
        <w:adjustRightInd w:val="0"/>
        <w:snapToGrid w:val="0"/>
        <w:spacing w:line="360" w:lineRule="auto"/>
        <w:ind w:left="1813" w:leftChars="203" w:hanging="1387" w:hangingChars="578"/>
        <w:jc w:val="left"/>
        <w:rPr>
          <w:rFonts w:hint="eastAsia" w:ascii="宋体" w:hAnsi="宋体" w:eastAsia="宋体" w:cs="Times New Roman"/>
          <w:sz w:val="24"/>
        </w:rPr>
      </w:pPr>
      <w:r>
        <w:rPr>
          <w:rFonts w:hint="eastAsia" w:ascii="宋体" w:hAnsi="宋体" w:eastAsia="宋体" w:cs="Times New Roman"/>
          <w:sz w:val="24"/>
        </w:rPr>
        <w:t>Ⅲ-电-07  平面图与系统图不一致,不造成严重后果的。</w:t>
      </w:r>
    </w:p>
    <w:p w14:paraId="7601D99B">
      <w:pPr>
        <w:tabs>
          <w:tab w:val="left" w:pos="1620"/>
          <w:tab w:val="left" w:pos="1701"/>
        </w:tabs>
        <w:adjustRightInd w:val="0"/>
        <w:snapToGrid w:val="0"/>
        <w:spacing w:line="360" w:lineRule="auto"/>
        <w:ind w:left="1626" w:leftChars="203" w:hanging="1200" w:hangingChars="500"/>
        <w:jc w:val="left"/>
        <w:rPr>
          <w:rFonts w:hint="eastAsia" w:ascii="宋体" w:hAnsi="宋体" w:eastAsia="宋体" w:cs="Times New Roman"/>
          <w:sz w:val="24"/>
        </w:rPr>
      </w:pPr>
      <w:r>
        <w:rPr>
          <w:rFonts w:hint="eastAsia" w:ascii="宋体" w:hAnsi="宋体" w:eastAsia="宋体" w:cs="Times New Roman"/>
          <w:sz w:val="24"/>
        </w:rPr>
        <w:t>Ⅲ-电-08  与建筑、结构、给排水、空调专业条件不一致，造成较小安全隐患。</w:t>
      </w:r>
    </w:p>
    <w:p w14:paraId="40060492">
      <w:pPr>
        <w:adjustRightInd w:val="0"/>
        <w:snapToGrid w:val="0"/>
        <w:spacing w:line="360" w:lineRule="auto"/>
        <w:ind w:firstLine="472" w:firstLineChars="196"/>
        <w:jc w:val="left"/>
        <w:rPr>
          <w:rFonts w:hint="eastAsia" w:ascii="宋体" w:hAnsi="宋体" w:eastAsia="宋体" w:cs="Times New Roman"/>
          <w:b/>
          <w:sz w:val="24"/>
        </w:rPr>
      </w:pPr>
    </w:p>
    <w:p w14:paraId="41EA3938">
      <w:pPr>
        <w:autoSpaceDE w:val="0"/>
        <w:autoSpaceDN w:val="0"/>
        <w:adjustRightInd w:val="0"/>
        <w:snapToGrid w:val="0"/>
        <w:spacing w:line="360" w:lineRule="auto"/>
        <w:jc w:val="left"/>
        <w:rPr>
          <w:rFonts w:hint="eastAsia" w:ascii="宋体" w:hAnsi="宋体" w:eastAsia="宋体" w:cs="宋体"/>
          <w:b/>
          <w:sz w:val="32"/>
          <w:szCs w:val="32"/>
        </w:rPr>
      </w:pPr>
      <w:r>
        <w:rPr>
          <w:rFonts w:hint="eastAsia" w:ascii="宋体" w:hAnsi="宋体" w:eastAsia="宋体" w:cs="宋体"/>
          <w:b/>
          <w:sz w:val="32"/>
          <w:szCs w:val="32"/>
        </w:rPr>
        <w:t>五、暖通专业施工图精细化审图错误分类</w:t>
      </w:r>
    </w:p>
    <w:p w14:paraId="51A1ED90">
      <w:pPr>
        <w:autoSpaceDE w:val="0"/>
        <w:autoSpaceDN w:val="0"/>
        <w:adjustRightInd w:val="0"/>
        <w:snapToGrid w:val="0"/>
        <w:spacing w:line="360" w:lineRule="auto"/>
        <w:rPr>
          <w:rFonts w:hint="eastAsia" w:ascii="宋体" w:hAnsi="宋体" w:eastAsia="宋体" w:cs="宋体"/>
          <w:sz w:val="24"/>
        </w:rPr>
      </w:pPr>
      <w:r>
        <w:rPr>
          <w:rFonts w:hint="eastAsia" w:ascii="宋体" w:hAnsi="宋体" w:eastAsia="宋体" w:cs="宋体"/>
          <w:b/>
          <w:sz w:val="24"/>
        </w:rPr>
        <w:t>【Ⅰ类错误】</w:t>
      </w:r>
      <w:r>
        <w:rPr>
          <w:rFonts w:ascii="宋体" w:hAnsi="宋体" w:eastAsia="宋体" w:cs="宋体"/>
          <w:sz w:val="24"/>
        </w:rPr>
        <w:tab/>
      </w:r>
    </w:p>
    <w:p w14:paraId="4C238D72">
      <w:pPr>
        <w:adjustRightInd w:val="0"/>
        <w:snapToGrid w:val="0"/>
        <w:spacing w:line="360" w:lineRule="auto"/>
        <w:ind w:firstLine="472" w:firstLineChars="196"/>
        <w:rPr>
          <w:rFonts w:hint="eastAsia" w:ascii="宋体" w:hAnsi="宋体" w:eastAsia="宋体" w:cs="Times New Roman"/>
          <w:b/>
          <w:sz w:val="24"/>
        </w:rPr>
      </w:pPr>
      <w:r>
        <w:rPr>
          <w:rFonts w:hint="eastAsia" w:ascii="宋体" w:hAnsi="宋体" w:eastAsia="宋体" w:cs="Times New Roman"/>
          <w:b/>
          <w:sz w:val="24"/>
        </w:rPr>
        <w:t>严重违反法律、法规及地方性标准。存在严重安全隐患，或可能造成重大施工返工及重大经济损失。如:</w:t>
      </w:r>
    </w:p>
    <w:p w14:paraId="0AF629FB">
      <w:pPr>
        <w:autoSpaceDE w:val="0"/>
        <w:autoSpaceDN w:val="0"/>
        <w:adjustRightInd w:val="0"/>
        <w:snapToGrid w:val="0"/>
        <w:spacing w:line="360" w:lineRule="auto"/>
        <w:ind w:left="1556" w:leftChars="202" w:hanging="1132" w:hangingChars="472"/>
        <w:rPr>
          <w:rFonts w:hint="eastAsia" w:ascii="宋体" w:hAnsi="宋体" w:eastAsia="宋体" w:cs="Times New Roman"/>
          <w:sz w:val="24"/>
        </w:rPr>
      </w:pPr>
      <w:r>
        <w:rPr>
          <w:rFonts w:hint="eastAsia" w:ascii="宋体" w:hAnsi="宋体" w:eastAsia="宋体" w:cs="Times New Roman"/>
          <w:sz w:val="24"/>
        </w:rPr>
        <w:t>I-暖-01  违反强条，并会造成严重损失的。</w:t>
      </w:r>
    </w:p>
    <w:p w14:paraId="20B53450">
      <w:pPr>
        <w:autoSpaceDE w:val="0"/>
        <w:autoSpaceDN w:val="0"/>
        <w:adjustRightInd w:val="0"/>
        <w:snapToGrid w:val="0"/>
        <w:spacing w:line="360" w:lineRule="auto"/>
        <w:ind w:left="1556" w:leftChars="202" w:hanging="1132" w:hangingChars="472"/>
        <w:rPr>
          <w:rFonts w:hint="eastAsia" w:ascii="宋体" w:hAnsi="宋体" w:eastAsia="宋体" w:cs="Times New Roman"/>
          <w:sz w:val="24"/>
        </w:rPr>
      </w:pPr>
      <w:r>
        <w:rPr>
          <w:rFonts w:hint="eastAsia" w:ascii="宋体" w:hAnsi="宋体" w:eastAsia="宋体" w:cs="Times New Roman"/>
          <w:sz w:val="24"/>
        </w:rPr>
        <w:t>I-暖-02  规范要求的防排烟系统未设计。</w:t>
      </w:r>
    </w:p>
    <w:p w14:paraId="62A4A864">
      <w:pPr>
        <w:autoSpaceDE w:val="0"/>
        <w:autoSpaceDN w:val="0"/>
        <w:adjustRightInd w:val="0"/>
        <w:snapToGrid w:val="0"/>
        <w:spacing w:line="360" w:lineRule="auto"/>
        <w:ind w:left="1556" w:leftChars="202" w:hanging="1132" w:hangingChars="472"/>
        <w:rPr>
          <w:rFonts w:hint="eastAsia" w:ascii="宋体" w:hAnsi="宋体" w:eastAsia="宋体" w:cs="宋体"/>
          <w:sz w:val="24"/>
        </w:rPr>
      </w:pPr>
      <w:r>
        <w:rPr>
          <w:rFonts w:hint="eastAsia" w:ascii="宋体" w:hAnsi="宋体" w:eastAsia="宋体" w:cs="Times New Roman"/>
          <w:sz w:val="24"/>
        </w:rPr>
        <w:t>I-暖-03  防排烟系统风量、风压不满足规范要求。</w:t>
      </w:r>
    </w:p>
    <w:p w14:paraId="61DD0188">
      <w:pPr>
        <w:autoSpaceDE w:val="0"/>
        <w:autoSpaceDN w:val="0"/>
        <w:adjustRightInd w:val="0"/>
        <w:snapToGrid w:val="0"/>
        <w:spacing w:line="360" w:lineRule="auto"/>
        <w:ind w:left="1556" w:leftChars="202" w:hanging="1132" w:hangingChars="472"/>
        <w:rPr>
          <w:rFonts w:hint="eastAsia" w:ascii="宋体" w:hAnsi="宋体" w:eastAsia="宋体" w:cs="宋体"/>
          <w:sz w:val="24"/>
        </w:rPr>
      </w:pPr>
      <w:r>
        <w:rPr>
          <w:rFonts w:hint="eastAsia" w:ascii="宋体" w:hAnsi="宋体" w:eastAsia="宋体" w:cs="Times New Roman"/>
          <w:sz w:val="24"/>
        </w:rPr>
        <w:t>I-暖-04  锅炉房设置位置不符合规范要求、泄压口漏设或面积不足。</w:t>
      </w:r>
    </w:p>
    <w:p w14:paraId="7690AC40">
      <w:pPr>
        <w:adjustRightInd w:val="0"/>
        <w:snapToGrid w:val="0"/>
        <w:spacing w:line="360" w:lineRule="auto"/>
        <w:ind w:left="1556" w:leftChars="202" w:right="38" w:rightChars="18" w:hanging="1132" w:hangingChars="472"/>
        <w:rPr>
          <w:rFonts w:hint="eastAsia" w:ascii="宋体" w:hAnsi="宋体" w:eastAsia="宋体" w:cs="Times New Roman"/>
          <w:kern w:val="0"/>
          <w:sz w:val="24"/>
          <w:szCs w:val="24"/>
        </w:rPr>
      </w:pPr>
      <w:r>
        <w:rPr>
          <w:rFonts w:hint="eastAsia" w:ascii="宋体" w:hAnsi="宋体" w:eastAsia="宋体" w:cs="Times New Roman"/>
          <w:kern w:val="0"/>
          <w:sz w:val="24"/>
          <w:szCs w:val="24"/>
        </w:rPr>
        <w:t>I-暖-05  冷、热负荷计算书参数有误，冷热源机组、空调末端设备选型不当。</w:t>
      </w:r>
    </w:p>
    <w:p w14:paraId="272CF808">
      <w:pPr>
        <w:autoSpaceDE w:val="0"/>
        <w:autoSpaceDN w:val="0"/>
        <w:adjustRightInd w:val="0"/>
        <w:snapToGrid w:val="0"/>
        <w:spacing w:line="360" w:lineRule="auto"/>
        <w:ind w:left="1556" w:leftChars="202" w:hanging="1132" w:hangingChars="472"/>
        <w:rPr>
          <w:rFonts w:hint="eastAsia" w:ascii="宋体" w:hAnsi="宋体" w:eastAsia="宋体" w:cs="宋体"/>
          <w:spacing w:val="-20"/>
          <w:sz w:val="24"/>
        </w:rPr>
      </w:pPr>
      <w:r>
        <w:rPr>
          <w:rFonts w:hint="eastAsia" w:ascii="宋体" w:hAnsi="宋体" w:eastAsia="宋体" w:cs="Times New Roman"/>
          <w:sz w:val="24"/>
        </w:rPr>
        <w:t>I-暖-06  事故通风系统漏设（如：制冷机房及使用燃气的密闭房间）。</w:t>
      </w:r>
    </w:p>
    <w:p w14:paraId="03340A3A">
      <w:pPr>
        <w:autoSpaceDE w:val="0"/>
        <w:autoSpaceDN w:val="0"/>
        <w:adjustRightInd w:val="0"/>
        <w:snapToGrid w:val="0"/>
        <w:spacing w:line="360" w:lineRule="auto"/>
        <w:rPr>
          <w:rFonts w:hint="eastAsia" w:ascii="宋体" w:hAnsi="宋体" w:eastAsia="宋体" w:cs="宋体"/>
          <w:b/>
          <w:sz w:val="24"/>
        </w:rPr>
      </w:pPr>
      <w:r>
        <w:rPr>
          <w:rFonts w:hint="eastAsia" w:ascii="宋体" w:hAnsi="宋体" w:eastAsia="宋体" w:cs="宋体"/>
          <w:b/>
          <w:sz w:val="24"/>
        </w:rPr>
        <w:t>【Ⅱ类错误】</w:t>
      </w:r>
    </w:p>
    <w:p w14:paraId="7E78F2D6">
      <w:pPr>
        <w:adjustRightInd w:val="0"/>
        <w:snapToGrid w:val="0"/>
        <w:spacing w:line="360" w:lineRule="auto"/>
        <w:ind w:firstLine="453" w:firstLineChars="188"/>
        <w:rPr>
          <w:rFonts w:hint="eastAsia" w:ascii="宋体" w:hAnsi="宋体" w:eastAsia="宋体" w:cs="Times New Roman"/>
          <w:b/>
          <w:sz w:val="24"/>
        </w:rPr>
      </w:pPr>
      <w:r>
        <w:rPr>
          <w:rFonts w:hint="eastAsia" w:ascii="宋体" w:hAnsi="宋体" w:eastAsia="宋体" w:cs="Times New Roman"/>
          <w:b/>
          <w:sz w:val="24"/>
        </w:rPr>
        <w:t>违反法律、法规及地方性标准，影响建筑功能且不容易修正，或造成施工返工。如：</w:t>
      </w:r>
    </w:p>
    <w:p w14:paraId="0108FC8D">
      <w:pPr>
        <w:adjustRightInd w:val="0"/>
        <w:snapToGrid w:val="0"/>
        <w:spacing w:line="360" w:lineRule="auto"/>
        <w:ind w:right="38" w:rightChars="18" w:firstLine="424" w:firstLineChars="177"/>
        <w:jc w:val="left"/>
        <w:rPr>
          <w:rFonts w:hint="eastAsia" w:ascii="宋体" w:hAnsi="宋体" w:eastAsia="宋体" w:cs="Times New Roman"/>
          <w:kern w:val="0"/>
          <w:sz w:val="24"/>
          <w:szCs w:val="24"/>
        </w:rPr>
      </w:pPr>
      <w:r>
        <w:rPr>
          <w:rFonts w:hint="eastAsia" w:ascii="宋体" w:hAnsi="宋体" w:eastAsia="宋体" w:cs="Times New Roman"/>
          <w:kern w:val="0"/>
          <w:sz w:val="24"/>
          <w:szCs w:val="24"/>
        </w:rPr>
        <w:t>Ⅱ-暖-01  通风空调系统未按规范设置或遗漏。</w:t>
      </w:r>
    </w:p>
    <w:p w14:paraId="50CD5A8E">
      <w:pPr>
        <w:adjustRightInd w:val="0"/>
        <w:snapToGrid w:val="0"/>
        <w:spacing w:line="360" w:lineRule="auto"/>
        <w:ind w:firstLine="424" w:firstLineChars="177"/>
        <w:jc w:val="left"/>
        <w:rPr>
          <w:rFonts w:hint="eastAsia" w:ascii="宋体" w:hAnsi="宋体" w:eastAsia="宋体" w:cs="Times New Roman"/>
          <w:sz w:val="24"/>
        </w:rPr>
      </w:pPr>
      <w:r>
        <w:rPr>
          <w:rFonts w:hint="eastAsia" w:ascii="宋体" w:hAnsi="宋体" w:eastAsia="宋体" w:cs="Times New Roman"/>
          <w:sz w:val="24"/>
        </w:rPr>
        <w:t>Ⅱ-暖-02  防火阀漏设,防火阀类型选择错误。</w:t>
      </w:r>
    </w:p>
    <w:p w14:paraId="7117CF4D">
      <w:pPr>
        <w:adjustRightInd w:val="0"/>
        <w:snapToGrid w:val="0"/>
        <w:spacing w:line="360" w:lineRule="auto"/>
        <w:ind w:firstLine="424" w:firstLineChars="177"/>
        <w:jc w:val="left"/>
        <w:rPr>
          <w:rFonts w:hint="eastAsia" w:ascii="宋体" w:hAnsi="宋体" w:eastAsia="宋体" w:cs="Times New Roman"/>
          <w:sz w:val="24"/>
        </w:rPr>
      </w:pPr>
      <w:r>
        <w:rPr>
          <w:rFonts w:hint="eastAsia" w:ascii="宋体" w:hAnsi="宋体" w:eastAsia="宋体" w:cs="Times New Roman"/>
          <w:sz w:val="24"/>
        </w:rPr>
        <w:t>Ⅱ-暖-03  排烟口位置不符合规范要求。</w:t>
      </w:r>
    </w:p>
    <w:p w14:paraId="3978C0D9">
      <w:pPr>
        <w:adjustRightInd w:val="0"/>
        <w:snapToGrid w:val="0"/>
        <w:spacing w:line="360" w:lineRule="auto"/>
        <w:ind w:firstLine="424" w:firstLineChars="177"/>
        <w:jc w:val="left"/>
        <w:rPr>
          <w:rFonts w:hint="eastAsia" w:ascii="宋体" w:hAnsi="宋体" w:eastAsia="宋体" w:cs="Times New Roman"/>
          <w:sz w:val="24"/>
        </w:rPr>
      </w:pPr>
      <w:r>
        <w:rPr>
          <w:rFonts w:hint="eastAsia" w:ascii="宋体" w:hAnsi="宋体" w:eastAsia="宋体" w:cs="Times New Roman"/>
          <w:sz w:val="24"/>
        </w:rPr>
        <w:t>Ⅱ-暖-04  机房内设备布置未考虑检修条件。</w:t>
      </w:r>
    </w:p>
    <w:p w14:paraId="688B12AE">
      <w:pPr>
        <w:adjustRightInd w:val="0"/>
        <w:snapToGrid w:val="0"/>
        <w:spacing w:line="360" w:lineRule="auto"/>
        <w:ind w:firstLine="424" w:firstLineChars="177"/>
        <w:jc w:val="left"/>
        <w:rPr>
          <w:rFonts w:hint="eastAsia" w:ascii="宋体" w:hAnsi="宋体" w:eastAsia="宋体" w:cs="Times New Roman"/>
          <w:sz w:val="24"/>
        </w:rPr>
      </w:pPr>
      <w:r>
        <w:rPr>
          <w:rFonts w:hint="eastAsia" w:ascii="宋体" w:hAnsi="宋体" w:eastAsia="宋体" w:cs="Times New Roman"/>
          <w:sz w:val="24"/>
        </w:rPr>
        <w:t>Ⅱ-暖-05  空调、通风设备消声减震措施未考虑或设置不当。</w:t>
      </w:r>
    </w:p>
    <w:p w14:paraId="3A5892D9">
      <w:pPr>
        <w:adjustRightInd w:val="0"/>
        <w:snapToGrid w:val="0"/>
        <w:spacing w:line="360" w:lineRule="auto"/>
        <w:ind w:firstLine="424" w:firstLineChars="177"/>
        <w:jc w:val="left"/>
        <w:rPr>
          <w:rFonts w:hint="eastAsia" w:ascii="宋体" w:hAnsi="宋体" w:eastAsia="宋体" w:cs="Times New Roman"/>
          <w:sz w:val="24"/>
        </w:rPr>
      </w:pPr>
      <w:r>
        <w:rPr>
          <w:rFonts w:hint="eastAsia" w:ascii="宋体" w:hAnsi="宋体" w:eastAsia="宋体" w:cs="Times New Roman"/>
          <w:sz w:val="24"/>
        </w:rPr>
        <w:t>Ⅱ-暖-06  水系统阀门选型不当。</w:t>
      </w:r>
    </w:p>
    <w:p w14:paraId="73066F69">
      <w:pPr>
        <w:adjustRightInd w:val="0"/>
        <w:snapToGrid w:val="0"/>
        <w:spacing w:line="360" w:lineRule="auto"/>
        <w:ind w:firstLine="424" w:firstLineChars="177"/>
        <w:jc w:val="left"/>
        <w:rPr>
          <w:rFonts w:hint="eastAsia" w:ascii="宋体" w:hAnsi="宋体" w:eastAsia="宋体" w:cs="Times New Roman"/>
          <w:sz w:val="24"/>
        </w:rPr>
      </w:pPr>
      <w:r>
        <w:rPr>
          <w:rFonts w:hint="eastAsia" w:ascii="宋体" w:hAnsi="宋体" w:eastAsia="宋体" w:cs="Times New Roman"/>
          <w:sz w:val="24"/>
        </w:rPr>
        <w:t>Ⅱ-暖-07  管道穿越剪力墙或承重墙未预留孔洞或套管。</w:t>
      </w:r>
    </w:p>
    <w:p w14:paraId="58ED1484">
      <w:pPr>
        <w:adjustRightInd w:val="0"/>
        <w:snapToGrid w:val="0"/>
        <w:spacing w:line="360" w:lineRule="auto"/>
        <w:ind w:firstLine="424" w:firstLineChars="177"/>
        <w:jc w:val="left"/>
        <w:rPr>
          <w:rFonts w:hint="eastAsia" w:ascii="宋体" w:hAnsi="宋体" w:eastAsia="宋体" w:cs="Times New Roman"/>
          <w:sz w:val="24"/>
        </w:rPr>
      </w:pPr>
      <w:r>
        <w:rPr>
          <w:rFonts w:hint="eastAsia" w:ascii="宋体" w:hAnsi="宋体" w:eastAsia="宋体" w:cs="Times New Roman"/>
          <w:sz w:val="24"/>
        </w:rPr>
        <w:t>Ⅱ-暖-08  系统原理图中管线连接错误或不符合设计意图。</w:t>
      </w:r>
    </w:p>
    <w:p w14:paraId="1A38F215">
      <w:pPr>
        <w:adjustRightInd w:val="0"/>
        <w:snapToGrid w:val="0"/>
        <w:spacing w:line="360" w:lineRule="auto"/>
        <w:ind w:left="1624" w:leftChars="202" w:right="38" w:rightChars="18" w:hanging="1200" w:hangingChars="500"/>
        <w:jc w:val="left"/>
        <w:rPr>
          <w:rFonts w:hint="eastAsia" w:ascii="宋体" w:hAnsi="宋体" w:eastAsia="宋体" w:cs="Times New Roman"/>
          <w:kern w:val="0"/>
          <w:sz w:val="24"/>
          <w:szCs w:val="24"/>
        </w:rPr>
      </w:pPr>
      <w:r>
        <w:rPr>
          <w:rFonts w:hint="eastAsia" w:ascii="宋体" w:hAnsi="宋体" w:eastAsia="宋体" w:cs="Times New Roman"/>
          <w:kern w:val="0"/>
          <w:sz w:val="24"/>
          <w:szCs w:val="24"/>
        </w:rPr>
        <w:t>Ⅱ-暖-09  空调设备能效比、通风设备单位风量耗功率、水系统输送能效比等节能要求不满足规范。</w:t>
      </w:r>
    </w:p>
    <w:p w14:paraId="15ABD936">
      <w:pPr>
        <w:adjustRightInd w:val="0"/>
        <w:snapToGrid w:val="0"/>
        <w:spacing w:line="360" w:lineRule="auto"/>
        <w:ind w:firstLine="424" w:firstLineChars="177"/>
        <w:jc w:val="left"/>
        <w:rPr>
          <w:rFonts w:hint="eastAsia" w:ascii="宋体" w:hAnsi="宋体" w:eastAsia="宋体" w:cs="Times New Roman"/>
          <w:sz w:val="24"/>
        </w:rPr>
      </w:pPr>
      <w:r>
        <w:rPr>
          <w:rFonts w:hint="eastAsia" w:ascii="宋体" w:hAnsi="宋体" w:eastAsia="宋体" w:cs="Times New Roman"/>
          <w:sz w:val="24"/>
        </w:rPr>
        <w:t>Ⅱ-暖-10  送、排风气流短路。</w:t>
      </w:r>
    </w:p>
    <w:p w14:paraId="7CB8AE53">
      <w:pPr>
        <w:adjustRightInd w:val="0"/>
        <w:snapToGrid w:val="0"/>
        <w:spacing w:line="360" w:lineRule="auto"/>
        <w:ind w:firstLine="424" w:firstLineChars="177"/>
        <w:jc w:val="left"/>
        <w:rPr>
          <w:rFonts w:hint="eastAsia" w:ascii="宋体" w:hAnsi="宋体" w:eastAsia="宋体" w:cs="宋体"/>
          <w:sz w:val="24"/>
        </w:rPr>
      </w:pPr>
      <w:r>
        <w:rPr>
          <w:rFonts w:hint="eastAsia" w:ascii="宋体" w:hAnsi="宋体" w:eastAsia="宋体" w:cs="Times New Roman"/>
          <w:sz w:val="24"/>
        </w:rPr>
        <w:t xml:space="preserve">Ⅱ-暖-11  </w:t>
      </w:r>
      <w:r>
        <w:rPr>
          <w:rFonts w:hint="eastAsia" w:ascii="宋体" w:hAnsi="宋体" w:eastAsia="宋体" w:cs="宋体"/>
          <w:sz w:val="24"/>
        </w:rPr>
        <w:t>冷、热源设备没有考虑设备运输通道、吊装口。</w:t>
      </w:r>
    </w:p>
    <w:p w14:paraId="5404B1D1">
      <w:pPr>
        <w:autoSpaceDE w:val="0"/>
        <w:autoSpaceDN w:val="0"/>
        <w:adjustRightInd w:val="0"/>
        <w:snapToGrid w:val="0"/>
        <w:spacing w:line="360" w:lineRule="auto"/>
        <w:jc w:val="left"/>
        <w:rPr>
          <w:rFonts w:hint="eastAsia" w:ascii="宋体" w:hAnsi="宋体" w:eastAsia="宋体" w:cs="宋体"/>
          <w:b/>
          <w:sz w:val="24"/>
        </w:rPr>
      </w:pPr>
      <w:r>
        <w:rPr>
          <w:rFonts w:hint="eastAsia" w:ascii="宋体" w:hAnsi="宋体" w:eastAsia="宋体" w:cs="宋体"/>
          <w:b/>
          <w:sz w:val="24"/>
        </w:rPr>
        <w:t>【Ⅲ类错误】</w:t>
      </w:r>
    </w:p>
    <w:p w14:paraId="53268EF1">
      <w:pPr>
        <w:adjustRightInd w:val="0"/>
        <w:snapToGrid w:val="0"/>
        <w:spacing w:line="360" w:lineRule="auto"/>
        <w:ind w:firstLine="472" w:firstLineChars="196"/>
        <w:jc w:val="left"/>
        <w:rPr>
          <w:rFonts w:hint="eastAsia" w:ascii="宋体" w:hAnsi="宋体" w:eastAsia="宋体" w:cs="Times New Roman"/>
          <w:b/>
          <w:sz w:val="24"/>
        </w:rPr>
      </w:pPr>
      <w:r>
        <w:rPr>
          <w:rFonts w:hint="eastAsia" w:ascii="宋体" w:hAnsi="宋体" w:eastAsia="宋体" w:cs="Times New Roman"/>
          <w:b/>
          <w:sz w:val="24"/>
        </w:rPr>
        <w:t>局部违反法律、法规及地方性标准，设计图面及工种配合中的一般性错误或遗漏且容易修正。如：</w:t>
      </w:r>
    </w:p>
    <w:p w14:paraId="0946A299">
      <w:pPr>
        <w:adjustRightInd w:val="0"/>
        <w:snapToGrid w:val="0"/>
        <w:spacing w:line="360" w:lineRule="auto"/>
        <w:ind w:left="1" w:firstLine="424" w:firstLineChars="177"/>
        <w:jc w:val="left"/>
        <w:rPr>
          <w:rFonts w:hint="eastAsia" w:ascii="宋体" w:hAnsi="宋体" w:eastAsia="宋体" w:cs="Times New Roman"/>
          <w:sz w:val="24"/>
        </w:rPr>
      </w:pPr>
      <w:r>
        <w:rPr>
          <w:rFonts w:hint="eastAsia" w:ascii="宋体" w:hAnsi="宋体" w:eastAsia="宋体" w:cs="Times New Roman"/>
          <w:sz w:val="24"/>
        </w:rPr>
        <w:t>Ⅲ-暖-01  引用的规范、标准图集已废止。</w:t>
      </w:r>
    </w:p>
    <w:p w14:paraId="75D88266">
      <w:pPr>
        <w:adjustRightInd w:val="0"/>
        <w:snapToGrid w:val="0"/>
        <w:spacing w:line="360" w:lineRule="auto"/>
        <w:ind w:firstLine="424" w:firstLineChars="177"/>
        <w:jc w:val="left"/>
        <w:rPr>
          <w:rFonts w:hint="eastAsia" w:ascii="宋体" w:hAnsi="宋体" w:eastAsia="宋体" w:cs="Times New Roman"/>
          <w:sz w:val="24"/>
        </w:rPr>
      </w:pPr>
      <w:r>
        <w:rPr>
          <w:rFonts w:hint="eastAsia" w:ascii="宋体" w:hAnsi="宋体" w:eastAsia="宋体" w:cs="Times New Roman"/>
          <w:sz w:val="24"/>
        </w:rPr>
        <w:t>Ⅲ-暖-02  设备房、管线密集处剖面图、大样图不齐或平、剖面图不一致。</w:t>
      </w:r>
    </w:p>
    <w:p w14:paraId="0E0F7373">
      <w:pPr>
        <w:adjustRightInd w:val="0"/>
        <w:snapToGrid w:val="0"/>
        <w:spacing w:line="360" w:lineRule="auto"/>
        <w:ind w:firstLine="424" w:firstLineChars="177"/>
        <w:jc w:val="left"/>
        <w:rPr>
          <w:rFonts w:hint="eastAsia" w:ascii="宋体" w:hAnsi="宋体" w:eastAsia="宋体" w:cs="Times New Roman"/>
          <w:sz w:val="24"/>
        </w:rPr>
      </w:pPr>
      <w:r>
        <w:rPr>
          <w:rFonts w:hint="eastAsia" w:ascii="宋体" w:hAnsi="宋体" w:eastAsia="宋体" w:cs="Times New Roman"/>
          <w:sz w:val="24"/>
        </w:rPr>
        <w:t>Ⅲ-暖-03  设备、管道定位尺寸不全，风口尺寸漏标。</w:t>
      </w:r>
    </w:p>
    <w:p w14:paraId="01CCC7F1">
      <w:pPr>
        <w:adjustRightInd w:val="0"/>
        <w:snapToGrid w:val="0"/>
        <w:spacing w:line="360" w:lineRule="auto"/>
        <w:ind w:left="1624" w:leftChars="202" w:hanging="1200" w:hangingChars="500"/>
        <w:jc w:val="left"/>
        <w:rPr>
          <w:rFonts w:hint="eastAsia" w:ascii="宋体" w:hAnsi="宋体" w:eastAsia="宋体" w:cs="Times New Roman"/>
          <w:sz w:val="24"/>
        </w:rPr>
      </w:pPr>
      <w:r>
        <w:rPr>
          <w:rFonts w:hint="eastAsia" w:ascii="宋体" w:hAnsi="宋体" w:eastAsia="宋体" w:cs="Times New Roman"/>
          <w:sz w:val="24"/>
        </w:rPr>
        <w:t>Ⅲ-暖-04  与其他相关专业配合不到位（如：预留洞大小、定位尺寸和设备功率与相关专业标注不一致）。</w:t>
      </w:r>
    </w:p>
    <w:p w14:paraId="281F0EC4">
      <w:pPr>
        <w:adjustRightInd w:val="0"/>
        <w:snapToGrid w:val="0"/>
        <w:spacing w:line="360" w:lineRule="auto"/>
        <w:ind w:firstLine="424" w:firstLineChars="177"/>
        <w:jc w:val="left"/>
        <w:rPr>
          <w:rFonts w:hint="eastAsia" w:ascii="宋体" w:hAnsi="宋体" w:eastAsia="宋体" w:cs="Times New Roman"/>
          <w:sz w:val="24"/>
        </w:rPr>
      </w:pPr>
      <w:r>
        <w:rPr>
          <w:rFonts w:hint="eastAsia" w:ascii="宋体" w:hAnsi="宋体" w:eastAsia="宋体" w:cs="Times New Roman"/>
          <w:sz w:val="24"/>
        </w:rPr>
        <w:t>Ⅲ-暖-05  空调、通风、防排烟等系统自动控制要求阐述不清楚。</w:t>
      </w:r>
    </w:p>
    <w:p w14:paraId="4A86411C">
      <w:pPr>
        <w:adjustRightInd w:val="0"/>
        <w:snapToGrid w:val="0"/>
        <w:spacing w:line="360" w:lineRule="auto"/>
        <w:ind w:firstLine="424" w:firstLineChars="177"/>
        <w:jc w:val="left"/>
        <w:rPr>
          <w:rFonts w:hint="eastAsia" w:ascii="宋体" w:hAnsi="宋体" w:eastAsia="宋体" w:cs="Times New Roman"/>
          <w:sz w:val="24"/>
        </w:rPr>
      </w:pPr>
      <w:r>
        <w:rPr>
          <w:rFonts w:hint="eastAsia" w:ascii="宋体" w:hAnsi="宋体" w:eastAsia="宋体" w:cs="Times New Roman"/>
          <w:sz w:val="24"/>
        </w:rPr>
        <w:t>Ⅲ-暖-06  设计说明内容与设计图纸不相符。</w:t>
      </w:r>
    </w:p>
    <w:p w14:paraId="1B7C99BA">
      <w:pPr>
        <w:adjustRightInd w:val="0"/>
        <w:snapToGrid w:val="0"/>
        <w:spacing w:line="360" w:lineRule="auto"/>
        <w:ind w:firstLine="424" w:firstLineChars="177"/>
        <w:jc w:val="left"/>
        <w:rPr>
          <w:rFonts w:hint="eastAsia" w:ascii="宋体" w:hAnsi="宋体" w:eastAsia="宋体" w:cs="Times New Roman"/>
          <w:sz w:val="24"/>
        </w:rPr>
      </w:pPr>
      <w:r>
        <w:rPr>
          <w:rFonts w:hint="eastAsia" w:ascii="宋体" w:hAnsi="宋体" w:eastAsia="宋体" w:cs="Times New Roman"/>
          <w:sz w:val="24"/>
        </w:rPr>
        <w:t>Ⅲ-暖-07  主要设备技术参数不完整。</w:t>
      </w:r>
    </w:p>
    <w:p w14:paraId="16224426">
      <w:pPr>
        <w:rPr>
          <w:rFonts w:hint="eastAsia" w:ascii="宋体" w:hAnsi="宋体" w:eastAsia="宋体"/>
        </w:rPr>
      </w:pPr>
      <w:r>
        <w:rPr>
          <w:rFonts w:hint="eastAsia" w:ascii="宋体" w:hAnsi="宋体" w:eastAsia="宋体" w:cs="Times New Roman"/>
          <w:sz w:val="24"/>
        </w:rPr>
        <w:t>Ⅲ-暖-08  与建筑、结构、给排水、电气专业条件不一致，造成较小安全隐患。</w:t>
      </w:r>
    </w:p>
    <w:p w14:paraId="3B9D1589">
      <w:pPr>
        <w:pStyle w:val="213"/>
        <w:widowControl w:val="0"/>
        <w:spacing w:before="0" w:beforeAutospacing="0" w:after="0" w:afterAutospacing="0" w:line="360" w:lineRule="auto"/>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ˎ̥">
    <w:altName w:val="Times New Roman"/>
    <w:panose1 w:val="00000000000000000000"/>
    <w:charset w:val="00"/>
    <w:family w:val="roman"/>
    <w:pitch w:val="default"/>
    <w:sig w:usb0="00000000" w:usb1="00000000" w:usb2="00000000" w:usb3="00000000" w:csb0="00040001"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1177251"/>
    </w:sdtPr>
    <w:sdtContent>
      <w:p w14:paraId="403F7126">
        <w:pPr>
          <w:pStyle w:val="50"/>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5CE491F9">
    <w:pPr>
      <w:pStyle w:val="50"/>
      <w:ind w:left="840" w:hanging="420"/>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292455"/>
    <w:multiLevelType w:val="singleLevel"/>
    <w:tmpl w:val="FF292455"/>
    <w:lvl w:ilvl="0" w:tentative="0">
      <w:start w:val="3"/>
      <w:numFmt w:val="chineseCounting"/>
      <w:suff w:val="nothing"/>
      <w:lvlText w:val="%1、"/>
      <w:lvlJc w:val="left"/>
      <w:rPr>
        <w:rFonts w:hint="eastAsia"/>
      </w:rPr>
    </w:lvl>
  </w:abstractNum>
  <w:abstractNum w:abstractNumId="1">
    <w:nsid w:val="FFFFFF7C"/>
    <w:multiLevelType w:val="singleLevel"/>
    <w:tmpl w:val="FFFFFF7C"/>
    <w:lvl w:ilvl="0" w:tentative="0">
      <w:start w:val="1"/>
      <w:numFmt w:val="decimal"/>
      <w:pStyle w:val="60"/>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3"/>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32"/>
      <w:lvlText w:val="%1."/>
      <w:lvlJc w:val="left"/>
      <w:pPr>
        <w:tabs>
          <w:tab w:val="left" w:pos="1200"/>
        </w:tabs>
        <w:ind w:left="1200" w:hanging="360"/>
      </w:pPr>
    </w:lvl>
  </w:abstractNum>
  <w:abstractNum w:abstractNumId="4">
    <w:nsid w:val="FFFFFF7F"/>
    <w:multiLevelType w:val="singleLevel"/>
    <w:tmpl w:val="FFFFFF7F"/>
    <w:lvl w:ilvl="0" w:tentative="0">
      <w:start w:val="1"/>
      <w:numFmt w:val="decimal"/>
      <w:pStyle w:val="13"/>
      <w:lvlText w:val="%1."/>
      <w:lvlJc w:val="left"/>
      <w:pPr>
        <w:tabs>
          <w:tab w:val="left" w:pos="780"/>
        </w:tabs>
        <w:ind w:left="780" w:hanging="360"/>
      </w:pPr>
    </w:lvl>
  </w:abstractNum>
  <w:abstractNum w:abstractNumId="5">
    <w:nsid w:val="FFFFFF81"/>
    <w:multiLevelType w:val="singleLevel"/>
    <w:tmpl w:val="FFFFFF81"/>
    <w:lvl w:ilvl="0" w:tentative="0">
      <w:start w:val="1"/>
      <w:numFmt w:val="bullet"/>
      <w:pStyle w:val="15"/>
      <w:lvlText w:val=""/>
      <w:lvlJc w:val="left"/>
      <w:pPr>
        <w:tabs>
          <w:tab w:val="left" w:pos="1620"/>
        </w:tabs>
        <w:ind w:left="1620" w:hanging="360"/>
      </w:pPr>
      <w:rPr>
        <w:rFonts w:hint="default" w:ascii="Wingdings" w:hAnsi="Wingdings"/>
      </w:rPr>
    </w:lvl>
  </w:abstractNum>
  <w:abstractNum w:abstractNumId="6">
    <w:nsid w:val="FFFFFF82"/>
    <w:multiLevelType w:val="singleLevel"/>
    <w:tmpl w:val="FFFFFF82"/>
    <w:lvl w:ilvl="0" w:tentative="0">
      <w:start w:val="1"/>
      <w:numFmt w:val="bullet"/>
      <w:pStyle w:val="29"/>
      <w:lvlText w:val=""/>
      <w:lvlJc w:val="left"/>
      <w:pPr>
        <w:tabs>
          <w:tab w:val="left" w:pos="1200"/>
        </w:tabs>
        <w:ind w:left="1200" w:hanging="360"/>
      </w:pPr>
      <w:rPr>
        <w:rFonts w:hint="default" w:ascii="Wingdings" w:hAnsi="Wingdings"/>
      </w:rPr>
    </w:lvl>
  </w:abstractNum>
  <w:abstractNum w:abstractNumId="7">
    <w:nsid w:val="FFFFFF83"/>
    <w:multiLevelType w:val="singleLevel"/>
    <w:tmpl w:val="FFFFFF83"/>
    <w:lvl w:ilvl="0" w:tentative="0">
      <w:start w:val="1"/>
      <w:numFmt w:val="bullet"/>
      <w:pStyle w:val="36"/>
      <w:lvlText w:val=""/>
      <w:lvlJc w:val="left"/>
      <w:pPr>
        <w:tabs>
          <w:tab w:val="left" w:pos="780"/>
        </w:tabs>
        <w:ind w:left="780" w:hanging="360"/>
      </w:pPr>
      <w:rPr>
        <w:rFonts w:hint="default" w:ascii="Wingdings" w:hAnsi="Wingdings"/>
      </w:rPr>
    </w:lvl>
  </w:abstractNum>
  <w:abstractNum w:abstractNumId="8">
    <w:nsid w:val="FFFFFF88"/>
    <w:multiLevelType w:val="singleLevel"/>
    <w:tmpl w:val="FFFFFF88"/>
    <w:lvl w:ilvl="0" w:tentative="0">
      <w:start w:val="1"/>
      <w:numFmt w:val="decimal"/>
      <w:pStyle w:val="18"/>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20"/>
      <w:lvlText w:val=""/>
      <w:lvlJc w:val="left"/>
      <w:pPr>
        <w:tabs>
          <w:tab w:val="left" w:pos="360"/>
        </w:tabs>
        <w:ind w:left="360" w:hanging="360"/>
      </w:pPr>
      <w:rPr>
        <w:rFonts w:hint="default" w:ascii="Wingdings" w:hAnsi="Wingdings"/>
      </w:rPr>
    </w:lvl>
  </w:abstractNum>
  <w:abstractNum w:abstractNumId="10">
    <w:nsid w:val="2BE942A6"/>
    <w:multiLevelType w:val="multilevel"/>
    <w:tmpl w:val="2BE942A6"/>
    <w:lvl w:ilvl="0" w:tentative="0">
      <w:start w:val="1"/>
      <w:numFmt w:val="japaneseCounting"/>
      <w:lvlText w:val="第%1章"/>
      <w:lvlJc w:val="left"/>
      <w:pPr>
        <w:ind w:left="1080" w:hanging="1080"/>
      </w:pPr>
      <w:rPr>
        <w:rFonts w:hint="default" w:ascii="宋体" w:hAnsi="宋体" w:eastAsia="宋体"/>
        <w:b/>
        <w:sz w:val="32"/>
        <w:szCs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5"/>
  </w:num>
  <w:num w:numId="3">
    <w:abstractNumId w:val="8"/>
  </w:num>
  <w:num w:numId="4">
    <w:abstractNumId w:val="9"/>
  </w:num>
  <w:num w:numId="5">
    <w:abstractNumId w:val="6"/>
  </w:num>
  <w:num w:numId="6">
    <w:abstractNumId w:val="3"/>
  </w:num>
  <w:num w:numId="7">
    <w:abstractNumId w:val="7"/>
  </w:num>
  <w:num w:numId="8">
    <w:abstractNumId w:val="2"/>
  </w:num>
  <w:num w:numId="9">
    <w:abstractNumId w:val="1"/>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doNotDisplayPageBoundaries w:val="1"/>
  <w:documentProtection w:enforcement="0"/>
  <w:defaultTabStop w:val="420"/>
  <w:drawingGridHorizontalSpacing w:val="105"/>
  <w:drawingGridVerticalSpacing w:val="156"/>
  <w:noPunctuationKerning w:val="1"/>
  <w:characterSpacingControl w:val="doNotCompress"/>
  <w:compat>
    <w:doNotExpandShiftReturn/>
    <w:doNotWrapTextWithPunct/>
    <w:doNotUseEastAsianBreakRules/>
    <w:useFELayout/>
    <w:compatSetting w:name="compatibilityMode" w:uri="http://schemas.microsoft.com/office/word" w:val="12"/>
  </w:compat>
  <w:rsids>
    <w:rsidRoot w:val="00A33239"/>
    <w:rsid w:val="0005669B"/>
    <w:rsid w:val="000603C3"/>
    <w:rsid w:val="00081263"/>
    <w:rsid w:val="000A08C3"/>
    <w:rsid w:val="000A60E9"/>
    <w:rsid w:val="000B3AE0"/>
    <w:rsid w:val="001824CD"/>
    <w:rsid w:val="00193934"/>
    <w:rsid w:val="001F0440"/>
    <w:rsid w:val="002038BA"/>
    <w:rsid w:val="00230C2A"/>
    <w:rsid w:val="0028797D"/>
    <w:rsid w:val="002A1C41"/>
    <w:rsid w:val="002F6F28"/>
    <w:rsid w:val="00314D19"/>
    <w:rsid w:val="00321363"/>
    <w:rsid w:val="00352A49"/>
    <w:rsid w:val="00357E2E"/>
    <w:rsid w:val="003A2036"/>
    <w:rsid w:val="003C2668"/>
    <w:rsid w:val="003E1087"/>
    <w:rsid w:val="00403337"/>
    <w:rsid w:val="00427C9C"/>
    <w:rsid w:val="00483CA7"/>
    <w:rsid w:val="004851B6"/>
    <w:rsid w:val="00496299"/>
    <w:rsid w:val="004B597D"/>
    <w:rsid w:val="004E4FB1"/>
    <w:rsid w:val="004F76F7"/>
    <w:rsid w:val="00517E58"/>
    <w:rsid w:val="005343B2"/>
    <w:rsid w:val="005476B6"/>
    <w:rsid w:val="00561DFC"/>
    <w:rsid w:val="00593C90"/>
    <w:rsid w:val="00596534"/>
    <w:rsid w:val="005A2FB5"/>
    <w:rsid w:val="005B4404"/>
    <w:rsid w:val="005C1093"/>
    <w:rsid w:val="005E4ACE"/>
    <w:rsid w:val="0062351A"/>
    <w:rsid w:val="0064330C"/>
    <w:rsid w:val="006A539E"/>
    <w:rsid w:val="006B30DB"/>
    <w:rsid w:val="00747A43"/>
    <w:rsid w:val="00787A98"/>
    <w:rsid w:val="00791371"/>
    <w:rsid w:val="007B6206"/>
    <w:rsid w:val="007D2C14"/>
    <w:rsid w:val="00810042"/>
    <w:rsid w:val="00881851"/>
    <w:rsid w:val="00894273"/>
    <w:rsid w:val="008B0E15"/>
    <w:rsid w:val="008B412A"/>
    <w:rsid w:val="008E2F41"/>
    <w:rsid w:val="008F3ABA"/>
    <w:rsid w:val="008F64FE"/>
    <w:rsid w:val="009D1E6F"/>
    <w:rsid w:val="009F1AEB"/>
    <w:rsid w:val="009F7DD0"/>
    <w:rsid w:val="00A06BF1"/>
    <w:rsid w:val="00A33239"/>
    <w:rsid w:val="00A45682"/>
    <w:rsid w:val="00A7004D"/>
    <w:rsid w:val="00A73AF9"/>
    <w:rsid w:val="00A828F3"/>
    <w:rsid w:val="00AB2716"/>
    <w:rsid w:val="00AD715A"/>
    <w:rsid w:val="00B00344"/>
    <w:rsid w:val="00B04A99"/>
    <w:rsid w:val="00B40ADD"/>
    <w:rsid w:val="00B420E8"/>
    <w:rsid w:val="00B6508C"/>
    <w:rsid w:val="00B935F2"/>
    <w:rsid w:val="00BC7F11"/>
    <w:rsid w:val="00C11975"/>
    <w:rsid w:val="00C345FC"/>
    <w:rsid w:val="00C64230"/>
    <w:rsid w:val="00C72258"/>
    <w:rsid w:val="00CD7905"/>
    <w:rsid w:val="00D04B4E"/>
    <w:rsid w:val="00D962C4"/>
    <w:rsid w:val="00DE2BB3"/>
    <w:rsid w:val="00DE58C9"/>
    <w:rsid w:val="00EC15F6"/>
    <w:rsid w:val="00F01B8E"/>
    <w:rsid w:val="00F305ED"/>
    <w:rsid w:val="00FB62B5"/>
    <w:rsid w:val="00FE1DA4"/>
    <w:rsid w:val="084B2F43"/>
    <w:rsid w:val="29EC0B1D"/>
    <w:rsid w:val="31630174"/>
    <w:rsid w:val="354F739A"/>
    <w:rsid w:val="3A345FF0"/>
    <w:rsid w:val="40FC1F68"/>
    <w:rsid w:val="41713CAC"/>
    <w:rsid w:val="430A4024"/>
    <w:rsid w:val="47D32551"/>
    <w:rsid w:val="4ABF75BB"/>
    <w:rsid w:val="5349507E"/>
    <w:rsid w:val="7ABC2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qFormat="1" w:unhideWhenUsed="0" w:uiPriority="0" w:name="index heading"/>
    <w:lsdException w:qFormat="1" w:uiPriority="35" w:name="caption"/>
    <w:lsdException w:uiPriority="99" w:name="table of figures"/>
    <w:lsdException w:qFormat="1" w:unhideWhenUsed="0" w:uiPriority="0" w:name="envelope address"/>
    <w:lsdException w:qFormat="1" w:unhideWhenUsed="0" w:uiPriority="0" w:name="envelope return"/>
    <w:lsdException w:qFormat="1" w:uiPriority="99" w:name="footnote reference"/>
    <w:lsdException w:qFormat="1" w:unhideWhenUsed="0" w:uiPriority="0" w:name="annotation reference"/>
    <w:lsdException w:qFormat="1" w:unhideWhenUsed="0" w:uiPriority="0"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10" w:semiHidden="0" w:name="Title"/>
    <w:lsdException w:qFormat="1" w:unhideWhenUsed="0" w:uiPriority="0" w:name="Closing"/>
    <w:lsdException w:qFormat="1" w:unhideWhenUsed="0" w:uiPriority="0" w:name="Signature"/>
    <w:lsdException w:qFormat="1" w:uiPriority="1" w:name="Default Paragraph Font"/>
    <w:lsdException w:qFormat="1" w:uiPriority="99" w:semiHidden="0" w:name="Body Text"/>
    <w:lsdException w:qFormat="1" w:uiPriority="99" w:semiHidden="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11" w:semiHidden="0" w:name="Subtitle"/>
    <w:lsdException w:qFormat="1" w:unhideWhenUsed="0" w:uiPriority="0" w:name="Salutation"/>
    <w:lsdException w:qFormat="1" w:uiPriority="0" w:semiHidden="0" w:name="Date"/>
    <w:lsdException w:qFormat="1" w:unhideWhenUsed="0" w:uiPriority="0" w:name="Body Text First Indent"/>
    <w:lsdException w:qFormat="1" w:unhideWhenUsed="0" w:uiPriority="0" w:name="Body Text First Indent 2"/>
    <w:lsdException w:qFormat="1" w:unhideWhenUsed="0" w:uiPriority="0" w:name="Note Heading"/>
    <w:lsdException w:uiPriority="99" w:name="Body Text 2"/>
    <w:lsdException w:qFormat="1" w:unhideWhenUsed="0" w:uiPriority="0" w:name="Body Text 3"/>
    <w:lsdException w:qFormat="1" w:unhideWhenUsed="0" w:uiPriority="0" w:name="Body Text Indent 2"/>
    <w:lsdException w:uiPriority="99" w:name="Body Text Indent 3"/>
    <w:lsdException w:qFormat="1" w:unhideWhenUsed="0" w:uiPriority="0"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0" w:semiHidden="0" w:name="Plain Text"/>
    <w:lsdException w:qFormat="1" w:unhideWhenUsed="0" w:uiPriority="0" w:name="E-mail Signature"/>
    <w:lsdException w:qFormat="1"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uiPriority="99"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semiHidden="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38"/>
    <w:qFormat/>
    <w:uiPriority w:val="0"/>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39"/>
    <w:unhideWhenUsed/>
    <w:qFormat/>
    <w:uiPriority w:val="0"/>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40"/>
    <w:unhideWhenUsed/>
    <w:qFormat/>
    <w:uiPriority w:val="0"/>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141"/>
    <w:unhideWhenUsed/>
    <w:qFormat/>
    <w:uiPriority w:val="0"/>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142"/>
    <w:unhideWhenUsed/>
    <w:qFormat/>
    <w:uiPriority w:val="0"/>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143"/>
    <w:unhideWhenUsed/>
    <w:qFormat/>
    <w:uiPriority w:val="0"/>
    <w:pPr>
      <w:keepNext/>
      <w:keepLines/>
      <w:spacing w:before="40"/>
      <w:outlineLvl w:val="5"/>
    </w:pPr>
    <w:rPr>
      <w:rFonts w:cstheme="majorBidi"/>
      <w:b/>
      <w:bCs/>
      <w:color w:val="0F4761" w:themeColor="accent1" w:themeShade="BF"/>
    </w:rPr>
  </w:style>
  <w:style w:type="paragraph" w:styleId="8">
    <w:name w:val="heading 7"/>
    <w:basedOn w:val="1"/>
    <w:next w:val="1"/>
    <w:link w:val="144"/>
    <w:unhideWhenUsed/>
    <w:qFormat/>
    <w:uiPriority w:val="0"/>
    <w:pPr>
      <w:keepNext/>
      <w:keepLines/>
      <w:spacing w:before="40"/>
      <w:outlineLvl w:val="6"/>
    </w:pPr>
    <w:rPr>
      <w:rFonts w:cstheme="majorBidi"/>
      <w:b/>
      <w:bCs/>
      <w:color w:val="585858" w:themeColor="text1" w:themeTint="A6"/>
    </w:rPr>
  </w:style>
  <w:style w:type="paragraph" w:styleId="9">
    <w:name w:val="heading 8"/>
    <w:basedOn w:val="1"/>
    <w:next w:val="1"/>
    <w:link w:val="145"/>
    <w:unhideWhenUsed/>
    <w:qFormat/>
    <w:uiPriority w:val="0"/>
    <w:pPr>
      <w:keepNext/>
      <w:keepLines/>
      <w:outlineLvl w:val="7"/>
    </w:pPr>
    <w:rPr>
      <w:rFonts w:cstheme="majorBidi"/>
      <w:color w:val="585858" w:themeColor="text1" w:themeTint="A6"/>
    </w:rPr>
  </w:style>
  <w:style w:type="paragraph" w:styleId="10">
    <w:name w:val="heading 9"/>
    <w:basedOn w:val="1"/>
    <w:next w:val="1"/>
    <w:link w:val="146"/>
    <w:unhideWhenUsed/>
    <w:qFormat/>
    <w:uiPriority w:val="0"/>
    <w:pPr>
      <w:keepNext/>
      <w:keepLines/>
      <w:outlineLvl w:val="8"/>
    </w:pPr>
    <w:rPr>
      <w:rFonts w:eastAsiaTheme="majorEastAsia" w:cstheme="majorBidi"/>
      <w:color w:val="585858" w:themeColor="text1" w:themeTint="A6"/>
    </w:rPr>
  </w:style>
  <w:style w:type="character" w:default="1" w:styleId="125">
    <w:name w:val="Default Paragraph Font"/>
    <w:semiHidden/>
    <w:unhideWhenUsed/>
    <w:qFormat/>
    <w:uiPriority w:val="1"/>
  </w:style>
  <w:style w:type="table" w:default="1" w:styleId="80">
    <w:name w:val="Normal Table"/>
    <w:semiHidden/>
    <w:unhideWhenUsed/>
    <w:uiPriority w:val="99"/>
    <w:tblPr>
      <w:tblCellMar>
        <w:top w:w="0" w:type="dxa"/>
        <w:left w:w="108" w:type="dxa"/>
        <w:bottom w:w="0" w:type="dxa"/>
        <w:right w:w="108" w:type="dxa"/>
      </w:tblCellMar>
    </w:tblPr>
  </w:style>
  <w:style w:type="paragraph" w:styleId="11">
    <w:name w:val="List 3"/>
    <w:basedOn w:val="1"/>
    <w:semiHidden/>
    <w:qFormat/>
    <w:uiPriority w:val="0"/>
    <w:pPr>
      <w:ind w:left="100" w:leftChars="400" w:hanging="200" w:hangingChars="200"/>
    </w:pPr>
    <w:rPr>
      <w:rFonts w:ascii="Times New Roman" w:hAnsi="Times New Roman" w:eastAsia="宋体" w:cs="Times New Roman"/>
      <w:szCs w:val="24"/>
    </w:rPr>
  </w:style>
  <w:style w:type="paragraph" w:styleId="12">
    <w:name w:val="toc 7"/>
    <w:basedOn w:val="1"/>
    <w:next w:val="1"/>
    <w:semiHidden/>
    <w:qFormat/>
    <w:uiPriority w:val="0"/>
    <w:pPr>
      <w:ind w:left="2520" w:leftChars="1200"/>
    </w:pPr>
    <w:rPr>
      <w:rFonts w:ascii="Calibri" w:hAnsi="Calibri" w:eastAsia="宋体" w:cs="Calibri"/>
    </w:rPr>
  </w:style>
  <w:style w:type="paragraph" w:styleId="13">
    <w:name w:val="List Number 2"/>
    <w:basedOn w:val="1"/>
    <w:semiHidden/>
    <w:qFormat/>
    <w:uiPriority w:val="0"/>
    <w:pPr>
      <w:numPr>
        <w:ilvl w:val="0"/>
        <w:numId w:val="1"/>
      </w:numPr>
      <w:tabs>
        <w:tab w:val="clear" w:pos="780"/>
      </w:tabs>
      <w:ind w:left="0" w:firstLine="0"/>
    </w:pPr>
    <w:rPr>
      <w:rFonts w:ascii="Times New Roman" w:hAnsi="Times New Roman" w:eastAsia="宋体" w:cs="Times New Roman"/>
      <w:szCs w:val="24"/>
    </w:rPr>
  </w:style>
  <w:style w:type="paragraph" w:styleId="14">
    <w:name w:val="Note Heading"/>
    <w:basedOn w:val="1"/>
    <w:next w:val="1"/>
    <w:link w:val="158"/>
    <w:semiHidden/>
    <w:qFormat/>
    <w:uiPriority w:val="0"/>
    <w:pPr>
      <w:jc w:val="center"/>
    </w:pPr>
    <w:rPr>
      <w:rFonts w:ascii="Times New Roman" w:hAnsi="Times New Roman" w:eastAsia="宋体" w:cs="Times New Roman"/>
      <w:szCs w:val="24"/>
    </w:rPr>
  </w:style>
  <w:style w:type="paragraph" w:styleId="15">
    <w:name w:val="List Bullet 4"/>
    <w:basedOn w:val="1"/>
    <w:semiHidden/>
    <w:qFormat/>
    <w:uiPriority w:val="0"/>
    <w:pPr>
      <w:numPr>
        <w:ilvl w:val="0"/>
        <w:numId w:val="2"/>
      </w:numPr>
      <w:tabs>
        <w:tab w:val="clear" w:pos="1620"/>
      </w:tabs>
      <w:ind w:left="0" w:firstLine="0"/>
    </w:pPr>
    <w:rPr>
      <w:rFonts w:ascii="Times New Roman" w:hAnsi="Times New Roman" w:eastAsia="宋体" w:cs="Times New Roman"/>
      <w:szCs w:val="24"/>
    </w:rPr>
  </w:style>
  <w:style w:type="paragraph" w:styleId="16">
    <w:name w:val="index 8"/>
    <w:basedOn w:val="1"/>
    <w:next w:val="1"/>
    <w:semiHidden/>
    <w:qFormat/>
    <w:uiPriority w:val="0"/>
    <w:pPr>
      <w:ind w:left="1680" w:hanging="210"/>
      <w:jc w:val="left"/>
    </w:pPr>
    <w:rPr>
      <w:rFonts w:ascii="Times New Roman" w:hAnsi="Times New Roman" w:eastAsia="宋体" w:cs="Times New Roman"/>
      <w:sz w:val="20"/>
      <w:szCs w:val="20"/>
    </w:rPr>
  </w:style>
  <w:style w:type="paragraph" w:styleId="17">
    <w:name w:val="E-mail Signature"/>
    <w:basedOn w:val="1"/>
    <w:link w:val="159"/>
    <w:semiHidden/>
    <w:qFormat/>
    <w:uiPriority w:val="0"/>
    <w:rPr>
      <w:rFonts w:ascii="Times New Roman" w:hAnsi="Times New Roman" w:eastAsia="宋体" w:cs="Times New Roman"/>
      <w:szCs w:val="24"/>
    </w:rPr>
  </w:style>
  <w:style w:type="paragraph" w:styleId="18">
    <w:name w:val="List Number"/>
    <w:basedOn w:val="1"/>
    <w:semiHidden/>
    <w:qFormat/>
    <w:uiPriority w:val="0"/>
    <w:pPr>
      <w:numPr>
        <w:ilvl w:val="0"/>
        <w:numId w:val="3"/>
      </w:numPr>
      <w:tabs>
        <w:tab w:val="clear" w:pos="360"/>
      </w:tabs>
      <w:ind w:left="0" w:firstLine="0"/>
    </w:pPr>
    <w:rPr>
      <w:rFonts w:ascii="Times New Roman" w:hAnsi="Times New Roman" w:eastAsia="宋体" w:cs="Times New Roman"/>
      <w:szCs w:val="24"/>
    </w:rPr>
  </w:style>
  <w:style w:type="paragraph" w:styleId="19">
    <w:name w:val="index 5"/>
    <w:basedOn w:val="1"/>
    <w:next w:val="1"/>
    <w:semiHidden/>
    <w:qFormat/>
    <w:uiPriority w:val="0"/>
    <w:pPr>
      <w:ind w:left="1050" w:hanging="210"/>
      <w:jc w:val="left"/>
    </w:pPr>
    <w:rPr>
      <w:rFonts w:ascii="Times New Roman" w:hAnsi="Times New Roman" w:eastAsia="宋体" w:cs="Times New Roman"/>
      <w:sz w:val="20"/>
      <w:szCs w:val="20"/>
    </w:rPr>
  </w:style>
  <w:style w:type="paragraph" w:styleId="20">
    <w:name w:val="List Bullet"/>
    <w:basedOn w:val="1"/>
    <w:semiHidden/>
    <w:qFormat/>
    <w:uiPriority w:val="0"/>
    <w:pPr>
      <w:numPr>
        <w:ilvl w:val="0"/>
        <w:numId w:val="4"/>
      </w:numPr>
      <w:tabs>
        <w:tab w:val="clear" w:pos="360"/>
      </w:tabs>
      <w:ind w:left="0" w:firstLine="0"/>
    </w:pPr>
    <w:rPr>
      <w:rFonts w:ascii="Times New Roman" w:hAnsi="Times New Roman" w:eastAsia="宋体" w:cs="Times New Roman"/>
      <w:szCs w:val="24"/>
    </w:rPr>
  </w:style>
  <w:style w:type="paragraph" w:styleId="21">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22">
    <w:name w:val="Document Map"/>
    <w:basedOn w:val="1"/>
    <w:link w:val="160"/>
    <w:semiHidden/>
    <w:qFormat/>
    <w:uiPriority w:val="0"/>
    <w:pPr>
      <w:shd w:val="clear" w:color="auto" w:fill="000080"/>
    </w:pPr>
    <w:rPr>
      <w:rFonts w:ascii="Times New Roman" w:hAnsi="Times New Roman" w:eastAsia="宋体" w:cs="Times New Roman"/>
      <w:szCs w:val="20"/>
    </w:rPr>
  </w:style>
  <w:style w:type="paragraph" w:styleId="23">
    <w:name w:val="toa heading"/>
    <w:basedOn w:val="1"/>
    <w:next w:val="1"/>
    <w:semiHidden/>
    <w:qFormat/>
    <w:uiPriority w:val="0"/>
    <w:pPr>
      <w:autoSpaceDE w:val="0"/>
      <w:autoSpaceDN w:val="0"/>
      <w:adjustRightInd w:val="0"/>
      <w:spacing w:before="120" w:after="60" w:line="360" w:lineRule="auto"/>
      <w:ind w:right="-425"/>
    </w:pPr>
    <w:rPr>
      <w:rFonts w:ascii="Arial" w:hAnsi="Arial" w:eastAsia="宋体" w:cs="Times New Roman"/>
      <w:color w:val="000000"/>
      <w:sz w:val="24"/>
      <w:szCs w:val="20"/>
    </w:rPr>
  </w:style>
  <w:style w:type="paragraph" w:styleId="24">
    <w:name w:val="annotation text"/>
    <w:basedOn w:val="1"/>
    <w:link w:val="161"/>
    <w:qFormat/>
    <w:uiPriority w:val="0"/>
    <w:pPr>
      <w:jc w:val="left"/>
    </w:pPr>
    <w:rPr>
      <w:rFonts w:ascii="Times New Roman" w:hAnsi="Times New Roman" w:eastAsia="宋体" w:cs="Times New Roman"/>
      <w:szCs w:val="20"/>
    </w:rPr>
  </w:style>
  <w:style w:type="paragraph" w:styleId="25">
    <w:name w:val="index 6"/>
    <w:basedOn w:val="1"/>
    <w:next w:val="1"/>
    <w:semiHidden/>
    <w:qFormat/>
    <w:uiPriority w:val="0"/>
    <w:pPr>
      <w:ind w:left="1260" w:hanging="210"/>
      <w:jc w:val="left"/>
    </w:pPr>
    <w:rPr>
      <w:rFonts w:ascii="Times New Roman" w:hAnsi="Times New Roman" w:eastAsia="宋体" w:cs="Times New Roman"/>
      <w:sz w:val="20"/>
      <w:szCs w:val="20"/>
    </w:rPr>
  </w:style>
  <w:style w:type="paragraph" w:styleId="26">
    <w:name w:val="Salutation"/>
    <w:basedOn w:val="1"/>
    <w:next w:val="1"/>
    <w:link w:val="162"/>
    <w:semiHidden/>
    <w:qFormat/>
    <w:uiPriority w:val="0"/>
    <w:rPr>
      <w:rFonts w:ascii="Times New Roman" w:hAnsi="Times New Roman" w:eastAsia="宋体" w:cs="Times New Roman"/>
      <w:szCs w:val="24"/>
    </w:rPr>
  </w:style>
  <w:style w:type="paragraph" w:styleId="27">
    <w:name w:val="Body Text 3"/>
    <w:basedOn w:val="1"/>
    <w:link w:val="163"/>
    <w:semiHidden/>
    <w:qFormat/>
    <w:uiPriority w:val="0"/>
    <w:pPr>
      <w:spacing w:after="120"/>
    </w:pPr>
    <w:rPr>
      <w:rFonts w:ascii="Times New Roman" w:hAnsi="Times New Roman" w:eastAsia="宋体" w:cs="Times New Roman"/>
      <w:sz w:val="16"/>
      <w:szCs w:val="16"/>
    </w:rPr>
  </w:style>
  <w:style w:type="paragraph" w:styleId="28">
    <w:name w:val="Closing"/>
    <w:basedOn w:val="1"/>
    <w:link w:val="164"/>
    <w:semiHidden/>
    <w:qFormat/>
    <w:uiPriority w:val="0"/>
    <w:pPr>
      <w:ind w:left="100" w:leftChars="2100"/>
    </w:pPr>
    <w:rPr>
      <w:rFonts w:ascii="Times New Roman" w:hAnsi="Times New Roman" w:eastAsia="宋体" w:cs="Times New Roman"/>
      <w:szCs w:val="24"/>
    </w:rPr>
  </w:style>
  <w:style w:type="paragraph" w:styleId="29">
    <w:name w:val="List Bullet 3"/>
    <w:basedOn w:val="1"/>
    <w:semiHidden/>
    <w:qFormat/>
    <w:uiPriority w:val="0"/>
    <w:pPr>
      <w:numPr>
        <w:ilvl w:val="0"/>
        <w:numId w:val="5"/>
      </w:numPr>
      <w:tabs>
        <w:tab w:val="clear" w:pos="1200"/>
      </w:tabs>
      <w:ind w:left="0" w:firstLine="0"/>
    </w:pPr>
    <w:rPr>
      <w:rFonts w:ascii="Times New Roman" w:hAnsi="Times New Roman" w:eastAsia="宋体" w:cs="Times New Roman"/>
      <w:szCs w:val="24"/>
    </w:rPr>
  </w:style>
  <w:style w:type="paragraph" w:styleId="30">
    <w:name w:val="Body Text"/>
    <w:basedOn w:val="1"/>
    <w:link w:val="165"/>
    <w:unhideWhenUsed/>
    <w:qFormat/>
    <w:uiPriority w:val="99"/>
    <w:pPr>
      <w:spacing w:after="120"/>
    </w:pPr>
  </w:style>
  <w:style w:type="paragraph" w:styleId="31">
    <w:name w:val="Body Text Indent"/>
    <w:basedOn w:val="1"/>
    <w:link w:val="166"/>
    <w:unhideWhenUsed/>
    <w:qFormat/>
    <w:uiPriority w:val="99"/>
    <w:pPr>
      <w:spacing w:after="120"/>
      <w:ind w:left="420" w:leftChars="200"/>
    </w:pPr>
  </w:style>
  <w:style w:type="paragraph" w:styleId="32">
    <w:name w:val="List Number 3"/>
    <w:basedOn w:val="1"/>
    <w:semiHidden/>
    <w:qFormat/>
    <w:uiPriority w:val="0"/>
    <w:pPr>
      <w:numPr>
        <w:ilvl w:val="0"/>
        <w:numId w:val="6"/>
      </w:numPr>
      <w:tabs>
        <w:tab w:val="clear" w:pos="1200"/>
      </w:tabs>
      <w:ind w:left="0" w:firstLine="0"/>
    </w:pPr>
    <w:rPr>
      <w:rFonts w:ascii="Times New Roman" w:hAnsi="Times New Roman" w:eastAsia="宋体" w:cs="Times New Roman"/>
      <w:szCs w:val="24"/>
    </w:rPr>
  </w:style>
  <w:style w:type="paragraph" w:styleId="33">
    <w:name w:val="List 2"/>
    <w:basedOn w:val="1"/>
    <w:semiHidden/>
    <w:qFormat/>
    <w:uiPriority w:val="0"/>
    <w:pPr>
      <w:ind w:left="100" w:leftChars="200" w:hanging="200" w:hangingChars="200"/>
    </w:pPr>
    <w:rPr>
      <w:rFonts w:ascii="Times New Roman" w:hAnsi="Times New Roman" w:eastAsia="宋体" w:cs="Times New Roman"/>
      <w:szCs w:val="24"/>
    </w:rPr>
  </w:style>
  <w:style w:type="paragraph" w:styleId="34">
    <w:name w:val="List Continue"/>
    <w:basedOn w:val="1"/>
    <w:semiHidden/>
    <w:qFormat/>
    <w:uiPriority w:val="0"/>
    <w:pPr>
      <w:spacing w:after="120"/>
      <w:ind w:left="420" w:leftChars="200"/>
    </w:pPr>
    <w:rPr>
      <w:rFonts w:ascii="Times New Roman" w:hAnsi="Times New Roman" w:eastAsia="宋体" w:cs="Times New Roman"/>
      <w:szCs w:val="24"/>
    </w:rPr>
  </w:style>
  <w:style w:type="paragraph" w:styleId="35">
    <w:name w:val="Block Text"/>
    <w:basedOn w:val="1"/>
    <w:semiHidden/>
    <w:qFormat/>
    <w:uiPriority w:val="0"/>
    <w:pPr>
      <w:spacing w:after="120"/>
      <w:ind w:left="1440" w:leftChars="700" w:right="1440" w:rightChars="700"/>
    </w:pPr>
    <w:rPr>
      <w:rFonts w:ascii="Times New Roman" w:hAnsi="Times New Roman" w:eastAsia="宋体" w:cs="Times New Roman"/>
      <w:szCs w:val="24"/>
    </w:rPr>
  </w:style>
  <w:style w:type="paragraph" w:styleId="36">
    <w:name w:val="List Bullet 2"/>
    <w:basedOn w:val="1"/>
    <w:semiHidden/>
    <w:qFormat/>
    <w:uiPriority w:val="0"/>
    <w:pPr>
      <w:numPr>
        <w:ilvl w:val="0"/>
        <w:numId w:val="7"/>
      </w:numPr>
      <w:tabs>
        <w:tab w:val="clear" w:pos="780"/>
      </w:tabs>
      <w:ind w:left="0" w:firstLine="0"/>
    </w:pPr>
    <w:rPr>
      <w:rFonts w:ascii="Times New Roman" w:hAnsi="Times New Roman" w:eastAsia="宋体" w:cs="Times New Roman"/>
      <w:szCs w:val="24"/>
    </w:rPr>
  </w:style>
  <w:style w:type="paragraph" w:styleId="37">
    <w:name w:val="HTML Address"/>
    <w:basedOn w:val="1"/>
    <w:link w:val="167"/>
    <w:semiHidden/>
    <w:qFormat/>
    <w:uiPriority w:val="0"/>
    <w:rPr>
      <w:rFonts w:ascii="Times New Roman" w:hAnsi="Times New Roman" w:eastAsia="宋体" w:cs="Times New Roman"/>
      <w:i/>
      <w:iCs/>
      <w:szCs w:val="24"/>
    </w:rPr>
  </w:style>
  <w:style w:type="paragraph" w:styleId="38">
    <w:name w:val="index 4"/>
    <w:basedOn w:val="1"/>
    <w:next w:val="1"/>
    <w:semiHidden/>
    <w:qFormat/>
    <w:uiPriority w:val="0"/>
    <w:pPr>
      <w:ind w:left="840" w:hanging="210"/>
      <w:jc w:val="left"/>
    </w:pPr>
    <w:rPr>
      <w:rFonts w:ascii="Times New Roman" w:hAnsi="Times New Roman" w:eastAsia="宋体" w:cs="Times New Roman"/>
      <w:sz w:val="20"/>
      <w:szCs w:val="20"/>
    </w:rPr>
  </w:style>
  <w:style w:type="paragraph" w:styleId="39">
    <w:name w:val="toc 5"/>
    <w:basedOn w:val="1"/>
    <w:next w:val="1"/>
    <w:semiHidden/>
    <w:qFormat/>
    <w:uiPriority w:val="0"/>
    <w:pPr>
      <w:ind w:left="1680" w:leftChars="800"/>
    </w:pPr>
    <w:rPr>
      <w:rFonts w:ascii="Calibri" w:hAnsi="Calibri" w:eastAsia="宋体" w:cs="Calibri"/>
    </w:rPr>
  </w:style>
  <w:style w:type="paragraph" w:styleId="40">
    <w:name w:val="toc 3"/>
    <w:basedOn w:val="1"/>
    <w:next w:val="1"/>
    <w:semiHidden/>
    <w:qFormat/>
    <w:uiPriority w:val="0"/>
    <w:pPr>
      <w:ind w:left="840" w:leftChars="400"/>
    </w:pPr>
    <w:rPr>
      <w:rFonts w:ascii="Calibri" w:hAnsi="Calibri" w:eastAsia="宋体" w:cs="Calibri"/>
    </w:rPr>
  </w:style>
  <w:style w:type="paragraph" w:styleId="41">
    <w:name w:val="Plain Text"/>
    <w:basedOn w:val="1"/>
    <w:link w:val="168"/>
    <w:unhideWhenUsed/>
    <w:qFormat/>
    <w:uiPriority w:val="0"/>
    <w:rPr>
      <w:rFonts w:ascii="宋体" w:hAnsi="Courier New"/>
      <w:szCs w:val="21"/>
    </w:rPr>
  </w:style>
  <w:style w:type="paragraph" w:styleId="42">
    <w:name w:val="List Bullet 5"/>
    <w:basedOn w:val="1"/>
    <w:semiHidden/>
    <w:qFormat/>
    <w:uiPriority w:val="0"/>
    <w:pPr>
      <w:tabs>
        <w:tab w:val="left" w:pos="2040"/>
      </w:tabs>
      <w:ind w:left="2040" w:hanging="360"/>
    </w:pPr>
    <w:rPr>
      <w:rFonts w:ascii="Times New Roman" w:hAnsi="Times New Roman" w:eastAsia="宋体" w:cs="Times New Roman"/>
      <w:szCs w:val="24"/>
    </w:rPr>
  </w:style>
  <w:style w:type="paragraph" w:styleId="43">
    <w:name w:val="List Number 4"/>
    <w:basedOn w:val="1"/>
    <w:semiHidden/>
    <w:qFormat/>
    <w:uiPriority w:val="0"/>
    <w:pPr>
      <w:numPr>
        <w:ilvl w:val="0"/>
        <w:numId w:val="8"/>
      </w:numPr>
      <w:tabs>
        <w:tab w:val="clear" w:pos="1620"/>
      </w:tabs>
      <w:ind w:left="0" w:firstLine="0"/>
    </w:pPr>
    <w:rPr>
      <w:rFonts w:ascii="Times New Roman" w:hAnsi="Times New Roman" w:eastAsia="宋体" w:cs="Times New Roman"/>
      <w:szCs w:val="24"/>
    </w:rPr>
  </w:style>
  <w:style w:type="paragraph" w:styleId="44">
    <w:name w:val="toc 8"/>
    <w:basedOn w:val="1"/>
    <w:next w:val="1"/>
    <w:semiHidden/>
    <w:qFormat/>
    <w:uiPriority w:val="0"/>
    <w:pPr>
      <w:ind w:left="2940" w:leftChars="1400"/>
    </w:pPr>
    <w:rPr>
      <w:rFonts w:ascii="Calibri" w:hAnsi="Calibri" w:eastAsia="宋体" w:cs="Calibri"/>
    </w:rPr>
  </w:style>
  <w:style w:type="paragraph" w:styleId="45">
    <w:name w:val="index 3"/>
    <w:basedOn w:val="1"/>
    <w:next w:val="1"/>
    <w:semiHidden/>
    <w:qFormat/>
    <w:uiPriority w:val="0"/>
    <w:pPr>
      <w:ind w:left="630" w:hanging="210"/>
      <w:jc w:val="left"/>
    </w:pPr>
    <w:rPr>
      <w:rFonts w:ascii="Times New Roman" w:hAnsi="Times New Roman" w:eastAsia="宋体" w:cs="Times New Roman"/>
      <w:sz w:val="20"/>
      <w:szCs w:val="20"/>
    </w:rPr>
  </w:style>
  <w:style w:type="paragraph" w:styleId="46">
    <w:name w:val="Date"/>
    <w:basedOn w:val="1"/>
    <w:next w:val="1"/>
    <w:link w:val="169"/>
    <w:unhideWhenUsed/>
    <w:qFormat/>
    <w:uiPriority w:val="0"/>
    <w:pPr>
      <w:ind w:left="100" w:leftChars="2500"/>
    </w:pPr>
    <w:rPr>
      <w:rFonts w:ascii="Times New Roman" w:hAnsi="Times New Roman" w:eastAsia="宋体" w:cs="Times New Roman"/>
      <w:szCs w:val="20"/>
    </w:rPr>
  </w:style>
  <w:style w:type="paragraph" w:styleId="47">
    <w:name w:val="Body Text Indent 2"/>
    <w:basedOn w:val="1"/>
    <w:link w:val="170"/>
    <w:semiHidden/>
    <w:qFormat/>
    <w:uiPriority w:val="0"/>
    <w:pPr>
      <w:spacing w:after="120" w:line="480" w:lineRule="auto"/>
      <w:ind w:left="420" w:leftChars="200"/>
    </w:pPr>
    <w:rPr>
      <w:rFonts w:ascii="Times New Roman" w:hAnsi="Times New Roman" w:eastAsia="宋体" w:cs="Times New Roman"/>
      <w:szCs w:val="24"/>
    </w:rPr>
  </w:style>
  <w:style w:type="paragraph" w:styleId="48">
    <w:name w:val="List Continue 5"/>
    <w:basedOn w:val="1"/>
    <w:semiHidden/>
    <w:qFormat/>
    <w:uiPriority w:val="0"/>
    <w:pPr>
      <w:spacing w:after="120"/>
      <w:ind w:left="2100" w:leftChars="1000"/>
    </w:pPr>
    <w:rPr>
      <w:rFonts w:ascii="Times New Roman" w:hAnsi="Times New Roman" w:eastAsia="宋体" w:cs="Times New Roman"/>
      <w:szCs w:val="24"/>
    </w:rPr>
  </w:style>
  <w:style w:type="paragraph" w:styleId="49">
    <w:name w:val="Balloon Text"/>
    <w:basedOn w:val="1"/>
    <w:link w:val="171"/>
    <w:semiHidden/>
    <w:qFormat/>
    <w:uiPriority w:val="0"/>
    <w:rPr>
      <w:rFonts w:ascii="Times New Roman" w:hAnsi="Times New Roman" w:eastAsia="宋体" w:cs="Times New Roman"/>
      <w:sz w:val="18"/>
      <w:szCs w:val="18"/>
    </w:rPr>
  </w:style>
  <w:style w:type="paragraph" w:styleId="50">
    <w:name w:val="footer"/>
    <w:basedOn w:val="1"/>
    <w:link w:val="157"/>
    <w:unhideWhenUsed/>
    <w:qFormat/>
    <w:uiPriority w:val="99"/>
    <w:pPr>
      <w:tabs>
        <w:tab w:val="center" w:pos="4153"/>
        <w:tab w:val="right" w:pos="8306"/>
      </w:tabs>
      <w:snapToGrid w:val="0"/>
      <w:jc w:val="left"/>
    </w:pPr>
    <w:rPr>
      <w:sz w:val="18"/>
      <w:szCs w:val="18"/>
    </w:rPr>
  </w:style>
  <w:style w:type="paragraph" w:styleId="51">
    <w:name w:val="envelope return"/>
    <w:basedOn w:val="1"/>
    <w:semiHidden/>
    <w:qFormat/>
    <w:uiPriority w:val="0"/>
    <w:pPr>
      <w:snapToGrid w:val="0"/>
    </w:pPr>
    <w:rPr>
      <w:rFonts w:ascii="Arial" w:hAnsi="Arial" w:eastAsia="宋体" w:cs="Arial"/>
      <w:szCs w:val="24"/>
    </w:rPr>
  </w:style>
  <w:style w:type="paragraph" w:styleId="52">
    <w:name w:val="header"/>
    <w:basedOn w:val="1"/>
    <w:link w:val="156"/>
    <w:unhideWhenUsed/>
    <w:qFormat/>
    <w:uiPriority w:val="0"/>
    <w:pPr>
      <w:tabs>
        <w:tab w:val="center" w:pos="4153"/>
        <w:tab w:val="right" w:pos="8306"/>
      </w:tabs>
      <w:snapToGrid w:val="0"/>
      <w:jc w:val="center"/>
    </w:pPr>
    <w:rPr>
      <w:sz w:val="18"/>
      <w:szCs w:val="18"/>
    </w:rPr>
  </w:style>
  <w:style w:type="paragraph" w:styleId="53">
    <w:name w:val="Signature"/>
    <w:basedOn w:val="1"/>
    <w:link w:val="172"/>
    <w:semiHidden/>
    <w:qFormat/>
    <w:uiPriority w:val="0"/>
    <w:pPr>
      <w:ind w:left="100" w:leftChars="2100"/>
    </w:pPr>
    <w:rPr>
      <w:rFonts w:ascii="Times New Roman" w:hAnsi="Times New Roman" w:eastAsia="宋体" w:cs="Times New Roman"/>
      <w:szCs w:val="24"/>
    </w:rPr>
  </w:style>
  <w:style w:type="paragraph" w:styleId="54">
    <w:name w:val="toc 1"/>
    <w:basedOn w:val="1"/>
    <w:next w:val="1"/>
    <w:semiHidden/>
    <w:qFormat/>
    <w:uiPriority w:val="0"/>
    <w:rPr>
      <w:rFonts w:ascii="Calibri" w:hAnsi="Calibri" w:eastAsia="宋体" w:cs="Calibri"/>
    </w:rPr>
  </w:style>
  <w:style w:type="paragraph" w:styleId="55">
    <w:name w:val="List Continue 4"/>
    <w:basedOn w:val="1"/>
    <w:semiHidden/>
    <w:qFormat/>
    <w:uiPriority w:val="0"/>
    <w:pPr>
      <w:spacing w:after="120"/>
      <w:ind w:left="1680" w:leftChars="800"/>
    </w:pPr>
    <w:rPr>
      <w:rFonts w:ascii="Times New Roman" w:hAnsi="Times New Roman" w:eastAsia="宋体" w:cs="Times New Roman"/>
      <w:szCs w:val="24"/>
    </w:rPr>
  </w:style>
  <w:style w:type="paragraph" w:styleId="56">
    <w:name w:val="toc 4"/>
    <w:basedOn w:val="1"/>
    <w:next w:val="1"/>
    <w:semiHidden/>
    <w:qFormat/>
    <w:uiPriority w:val="0"/>
    <w:pPr>
      <w:ind w:left="1260" w:leftChars="600"/>
    </w:pPr>
    <w:rPr>
      <w:rFonts w:ascii="Calibri" w:hAnsi="Calibri" w:eastAsia="宋体" w:cs="Calibri"/>
    </w:rPr>
  </w:style>
  <w:style w:type="paragraph" w:styleId="57">
    <w:name w:val="index heading"/>
    <w:basedOn w:val="1"/>
    <w:next w:val="58"/>
    <w:semiHidden/>
    <w:qFormat/>
    <w:uiPriority w:val="0"/>
    <w:pPr>
      <w:spacing w:before="120" w:after="120"/>
      <w:jc w:val="left"/>
    </w:pPr>
    <w:rPr>
      <w:rFonts w:ascii="Times New Roman" w:hAnsi="Times New Roman" w:eastAsia="宋体" w:cs="Times New Roman"/>
      <w:b/>
      <w:bCs/>
      <w:i/>
      <w:iCs/>
      <w:sz w:val="20"/>
      <w:szCs w:val="20"/>
    </w:rPr>
  </w:style>
  <w:style w:type="paragraph" w:styleId="58">
    <w:name w:val="index 1"/>
    <w:basedOn w:val="1"/>
    <w:next w:val="1"/>
    <w:autoRedefine/>
    <w:semiHidden/>
    <w:unhideWhenUsed/>
    <w:qFormat/>
    <w:uiPriority w:val="0"/>
  </w:style>
  <w:style w:type="paragraph" w:styleId="59">
    <w:name w:val="Subtitle"/>
    <w:basedOn w:val="1"/>
    <w:next w:val="1"/>
    <w:link w:val="148"/>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60">
    <w:name w:val="List Number 5"/>
    <w:basedOn w:val="1"/>
    <w:semiHidden/>
    <w:qFormat/>
    <w:uiPriority w:val="0"/>
    <w:pPr>
      <w:numPr>
        <w:ilvl w:val="0"/>
        <w:numId w:val="9"/>
      </w:numPr>
      <w:tabs>
        <w:tab w:val="clear" w:pos="2040"/>
      </w:tabs>
      <w:ind w:left="0" w:firstLine="0"/>
    </w:pPr>
    <w:rPr>
      <w:rFonts w:ascii="Times New Roman" w:hAnsi="Times New Roman" w:eastAsia="宋体" w:cs="Times New Roman"/>
      <w:szCs w:val="24"/>
    </w:rPr>
  </w:style>
  <w:style w:type="paragraph" w:styleId="61">
    <w:name w:val="List"/>
    <w:basedOn w:val="1"/>
    <w:semiHidden/>
    <w:qFormat/>
    <w:uiPriority w:val="0"/>
    <w:pPr>
      <w:ind w:left="200" w:hanging="200" w:hangingChars="200"/>
    </w:pPr>
    <w:rPr>
      <w:rFonts w:ascii="Times New Roman" w:hAnsi="Times New Roman" w:eastAsia="宋体" w:cs="Times New Roman"/>
      <w:szCs w:val="24"/>
    </w:rPr>
  </w:style>
  <w:style w:type="paragraph" w:styleId="62">
    <w:name w:val="footnote text"/>
    <w:basedOn w:val="1"/>
    <w:link w:val="173"/>
    <w:qFormat/>
    <w:uiPriority w:val="0"/>
    <w:pPr>
      <w:snapToGrid w:val="0"/>
      <w:jc w:val="left"/>
    </w:pPr>
    <w:rPr>
      <w:rFonts w:ascii="Times New Roman" w:hAnsi="Times New Roman" w:cs="Times New Roman"/>
      <w:sz w:val="18"/>
    </w:rPr>
  </w:style>
  <w:style w:type="paragraph" w:styleId="63">
    <w:name w:val="toc 6"/>
    <w:basedOn w:val="1"/>
    <w:next w:val="1"/>
    <w:semiHidden/>
    <w:qFormat/>
    <w:uiPriority w:val="0"/>
    <w:pPr>
      <w:ind w:left="2100" w:leftChars="1000"/>
    </w:pPr>
    <w:rPr>
      <w:rFonts w:ascii="Calibri" w:hAnsi="Calibri" w:eastAsia="宋体" w:cs="Calibri"/>
    </w:rPr>
  </w:style>
  <w:style w:type="paragraph" w:styleId="64">
    <w:name w:val="List 5"/>
    <w:basedOn w:val="1"/>
    <w:semiHidden/>
    <w:qFormat/>
    <w:uiPriority w:val="0"/>
    <w:pPr>
      <w:ind w:left="100" w:leftChars="800" w:hanging="200" w:hangingChars="200"/>
    </w:pPr>
    <w:rPr>
      <w:rFonts w:ascii="Times New Roman" w:hAnsi="Times New Roman" w:eastAsia="宋体" w:cs="Times New Roman"/>
      <w:szCs w:val="24"/>
    </w:rPr>
  </w:style>
  <w:style w:type="paragraph" w:styleId="65">
    <w:name w:val="index 7"/>
    <w:basedOn w:val="1"/>
    <w:next w:val="1"/>
    <w:semiHidden/>
    <w:qFormat/>
    <w:uiPriority w:val="0"/>
    <w:pPr>
      <w:ind w:left="1470" w:hanging="210"/>
      <w:jc w:val="left"/>
    </w:pPr>
    <w:rPr>
      <w:rFonts w:ascii="Times New Roman" w:hAnsi="Times New Roman" w:eastAsia="宋体" w:cs="Times New Roman"/>
      <w:sz w:val="20"/>
      <w:szCs w:val="20"/>
    </w:rPr>
  </w:style>
  <w:style w:type="paragraph" w:styleId="66">
    <w:name w:val="index 9"/>
    <w:basedOn w:val="1"/>
    <w:next w:val="1"/>
    <w:semiHidden/>
    <w:qFormat/>
    <w:uiPriority w:val="0"/>
    <w:pPr>
      <w:ind w:left="1890" w:hanging="210"/>
      <w:jc w:val="left"/>
    </w:pPr>
    <w:rPr>
      <w:rFonts w:ascii="Times New Roman" w:hAnsi="Times New Roman" w:eastAsia="宋体" w:cs="Times New Roman"/>
      <w:sz w:val="20"/>
      <w:szCs w:val="20"/>
    </w:rPr>
  </w:style>
  <w:style w:type="paragraph" w:styleId="67">
    <w:name w:val="toc 2"/>
    <w:basedOn w:val="1"/>
    <w:next w:val="1"/>
    <w:semiHidden/>
    <w:qFormat/>
    <w:uiPriority w:val="0"/>
    <w:pPr>
      <w:ind w:left="420" w:leftChars="200"/>
    </w:pPr>
    <w:rPr>
      <w:rFonts w:ascii="Calibri" w:hAnsi="Calibri" w:eastAsia="宋体" w:cs="Calibri"/>
    </w:rPr>
  </w:style>
  <w:style w:type="paragraph" w:styleId="68">
    <w:name w:val="toc 9"/>
    <w:basedOn w:val="1"/>
    <w:next w:val="1"/>
    <w:semiHidden/>
    <w:qFormat/>
    <w:uiPriority w:val="0"/>
    <w:pPr>
      <w:ind w:left="3360" w:leftChars="1600"/>
    </w:pPr>
    <w:rPr>
      <w:rFonts w:ascii="Calibri" w:hAnsi="Calibri" w:eastAsia="宋体" w:cs="Calibri"/>
    </w:rPr>
  </w:style>
  <w:style w:type="paragraph" w:styleId="69">
    <w:name w:val="List 4"/>
    <w:basedOn w:val="1"/>
    <w:semiHidden/>
    <w:qFormat/>
    <w:uiPriority w:val="0"/>
    <w:pPr>
      <w:ind w:left="100" w:leftChars="600" w:hanging="200" w:hangingChars="200"/>
    </w:pPr>
    <w:rPr>
      <w:rFonts w:ascii="Times New Roman" w:hAnsi="Times New Roman" w:eastAsia="宋体" w:cs="Times New Roman"/>
      <w:szCs w:val="24"/>
    </w:rPr>
  </w:style>
  <w:style w:type="paragraph" w:styleId="70">
    <w:name w:val="List Continue 2"/>
    <w:basedOn w:val="1"/>
    <w:semiHidden/>
    <w:qFormat/>
    <w:uiPriority w:val="0"/>
    <w:pPr>
      <w:spacing w:after="120"/>
      <w:ind w:left="840" w:leftChars="400"/>
    </w:pPr>
    <w:rPr>
      <w:rFonts w:ascii="Times New Roman" w:hAnsi="Times New Roman" w:eastAsia="宋体" w:cs="Times New Roman"/>
      <w:szCs w:val="24"/>
    </w:rPr>
  </w:style>
  <w:style w:type="paragraph" w:styleId="71">
    <w:name w:val="Message Header"/>
    <w:basedOn w:val="1"/>
    <w:link w:val="174"/>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cs="Arial"/>
      <w:sz w:val="24"/>
      <w:szCs w:val="24"/>
    </w:rPr>
  </w:style>
  <w:style w:type="paragraph" w:styleId="72">
    <w:name w:val="HTML Preformatted"/>
    <w:basedOn w:val="1"/>
    <w:link w:val="175"/>
    <w:semiHidden/>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color w:val="000000"/>
      <w:kern w:val="0"/>
      <w:sz w:val="24"/>
      <w:szCs w:val="24"/>
    </w:rPr>
  </w:style>
  <w:style w:type="paragraph" w:styleId="73">
    <w:name w:val="Normal (Web)"/>
    <w:basedOn w:val="1"/>
    <w:unhideWhenUsed/>
    <w:qFormat/>
    <w:uiPriority w:val="99"/>
    <w:rPr>
      <w:rFonts w:ascii="Calibri" w:hAnsi="Calibri" w:eastAsia="宋体" w:cs="Calibri"/>
      <w:sz w:val="24"/>
    </w:rPr>
  </w:style>
  <w:style w:type="paragraph" w:styleId="74">
    <w:name w:val="List Continue 3"/>
    <w:basedOn w:val="1"/>
    <w:semiHidden/>
    <w:qFormat/>
    <w:uiPriority w:val="0"/>
    <w:pPr>
      <w:spacing w:after="120"/>
      <w:ind w:left="1260" w:leftChars="600"/>
    </w:pPr>
    <w:rPr>
      <w:rFonts w:ascii="Times New Roman" w:hAnsi="Times New Roman" w:eastAsia="宋体" w:cs="Times New Roman"/>
      <w:szCs w:val="24"/>
    </w:rPr>
  </w:style>
  <w:style w:type="paragraph" w:styleId="75">
    <w:name w:val="index 2"/>
    <w:basedOn w:val="1"/>
    <w:next w:val="1"/>
    <w:semiHidden/>
    <w:qFormat/>
    <w:uiPriority w:val="0"/>
    <w:pPr>
      <w:ind w:left="420" w:hanging="210"/>
      <w:jc w:val="left"/>
    </w:pPr>
    <w:rPr>
      <w:rFonts w:ascii="Times New Roman" w:hAnsi="Times New Roman" w:eastAsia="宋体" w:cs="Times New Roman"/>
      <w:sz w:val="20"/>
      <w:szCs w:val="20"/>
    </w:rPr>
  </w:style>
  <w:style w:type="paragraph" w:styleId="76">
    <w:name w:val="Title"/>
    <w:basedOn w:val="1"/>
    <w:next w:val="1"/>
    <w:link w:val="147"/>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77">
    <w:name w:val="annotation subject"/>
    <w:basedOn w:val="24"/>
    <w:next w:val="24"/>
    <w:link w:val="176"/>
    <w:semiHidden/>
    <w:qFormat/>
    <w:uiPriority w:val="0"/>
    <w:rPr>
      <w:b/>
      <w:bCs/>
      <w:szCs w:val="24"/>
    </w:rPr>
  </w:style>
  <w:style w:type="paragraph" w:styleId="78">
    <w:name w:val="Body Text First Indent"/>
    <w:basedOn w:val="1"/>
    <w:link w:val="177"/>
    <w:semiHidden/>
    <w:qFormat/>
    <w:uiPriority w:val="0"/>
    <w:pPr>
      <w:spacing w:after="120"/>
      <w:ind w:firstLine="420" w:firstLineChars="100"/>
    </w:pPr>
    <w:rPr>
      <w:rFonts w:ascii="Times New Roman" w:hAnsi="Times New Roman" w:eastAsia="宋体" w:cs="Times New Roman"/>
      <w:szCs w:val="24"/>
    </w:rPr>
  </w:style>
  <w:style w:type="paragraph" w:styleId="79">
    <w:name w:val="Body Text First Indent 2"/>
    <w:basedOn w:val="1"/>
    <w:link w:val="178"/>
    <w:semiHidden/>
    <w:qFormat/>
    <w:uiPriority w:val="0"/>
    <w:pPr>
      <w:spacing w:after="120"/>
      <w:ind w:left="420" w:leftChars="200" w:firstLine="420" w:firstLineChars="200"/>
    </w:pPr>
    <w:rPr>
      <w:rFonts w:ascii="Times New Roman" w:hAnsi="Times New Roman" w:eastAsia="宋体" w:cs="Times New Roman"/>
      <w:szCs w:val="24"/>
    </w:rPr>
  </w:style>
  <w:style w:type="table" w:styleId="81">
    <w:name w:val="Table Grid"/>
    <w:basedOn w:val="8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2">
    <w:name w:val="Table Theme"/>
    <w:basedOn w:val="80"/>
    <w:semiHidden/>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3">
    <w:name w:val="Table Colorful 1"/>
    <w:basedOn w:val="80"/>
    <w:semiHidden/>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4">
    <w:name w:val="Table Colorful 2"/>
    <w:basedOn w:val="80"/>
    <w:semiHidden/>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top w:val="nil"/>
          <w:left w:val="nil"/>
          <w:bottom w:val="single" w:color="000000" w:sz="12" w:space="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5">
    <w:name w:val="Table Colorful 3"/>
    <w:basedOn w:val="80"/>
    <w:semiHidden/>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nil"/>
          <w:bottom w:val="single" w:color="000000" w:sz="6" w:space="0"/>
          <w:right w:val="nil"/>
          <w:insideH w:val="nil"/>
          <w:insideV w:val="nil"/>
          <w:tl2br w:val="nil"/>
          <w:tr2bl w:val="nil"/>
        </w:tcBorders>
        <w:shd w:val="solid" w:color="008080" w:fill="FFFFFF"/>
      </w:tcPr>
    </w:tblStylePr>
    <w:tblStylePr w:type="firstCol">
      <w:tblPr/>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6">
    <w:name w:val="Table Elegant"/>
    <w:basedOn w:val="80"/>
    <w:semiHidden/>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7">
    <w:name w:val="Table Classic 1"/>
    <w:basedOn w:val="80"/>
    <w:semiHidden/>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8">
    <w:name w:val="Table Classic 2"/>
    <w:basedOn w:val="80"/>
    <w:semiHidden/>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nil"/>
          <w:bottom w:val="single" w:color="000000" w:sz="6" w:space="0"/>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Classic 3"/>
    <w:basedOn w:val="80"/>
    <w:semiHidden/>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nil"/>
          <w:bottom w:val="single" w:color="000000" w:sz="6" w:space="0"/>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90">
    <w:name w:val="Table Classic 4"/>
    <w:basedOn w:val="80"/>
    <w:semiHidden/>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nil"/>
          <w:bottom w:val="single" w:color="000000" w:sz="6" w:space="0"/>
          <w:right w:val="nil"/>
          <w:insideH w:val="nil"/>
          <w:insideV w:val="nil"/>
          <w:tl2br w:val="nil"/>
          <w:tr2bl w:val="nil"/>
        </w:tcBorders>
        <w:shd w:val="pct50" w:color="000080" w:fill="FFFFFF"/>
      </w:tcPr>
    </w:tblStylePr>
    <w:tblStylePr w:type="lastRow">
      <w:rPr>
        <w:color w:val="000080"/>
      </w:rPr>
      <w:tblPr/>
      <w:tcPr>
        <w:tcBorders>
          <w:top w:val="nil"/>
          <w:left w:val="nil"/>
          <w:bottom w:val="single" w:color="000000" w:sz="6" w:space="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1">
    <w:name w:val="Table Simple 1"/>
    <w:basedOn w:val="80"/>
    <w:semiHidden/>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2">
    <w:name w:val="Table Simple 2"/>
    <w:basedOn w:val="80"/>
    <w:semiHidden/>
    <w:qFormat/>
    <w:uiPriority w:val="0"/>
    <w:pPr>
      <w:widowControl w:val="0"/>
      <w:jc w:val="both"/>
    </w:pPr>
    <w:tblPr/>
    <w:tblStylePr w:type="firstRow">
      <w:rPr>
        <w:b/>
        <w:bCs/>
      </w:rPr>
      <w:tblPr/>
      <w:tcPr>
        <w:tcBorders>
          <w:top w:val="nil"/>
          <w:left w:val="nil"/>
          <w:bottom w:val="single" w:color="000000" w:sz="12" w:space="0"/>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single" w:color="000000" w:sz="6" w:space="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imple 3"/>
    <w:basedOn w:val="80"/>
    <w:semiHidden/>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4">
    <w:name w:val="Table Subtle 1"/>
    <w:basedOn w:val="80"/>
    <w:semiHidden/>
    <w:qFormat/>
    <w:uiPriority w:val="0"/>
    <w:pPr>
      <w:widowControl w:val="0"/>
      <w:jc w:val="both"/>
    </w:pPr>
    <w:tblPr>
      <w:tblStyleRowBandSize w:val="1"/>
    </w:tblPr>
    <w:tblStylePr w:type="firstRow">
      <w:tblPr/>
      <w:tcPr>
        <w:tcBorders>
          <w:top w:val="single" w:color="000000" w:sz="6" w:space="0"/>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single" w:color="000000" w:sz="12" w:space="0"/>
          <w:bottom w:val="nil"/>
          <w:right w:val="nil"/>
          <w:insideH w:val="nil"/>
          <w:insideV w:val="nil"/>
          <w:tl2br w:val="nil"/>
          <w:tr2bl w:val="nil"/>
        </w:tcBorders>
      </w:tcPr>
    </w:tblStylePr>
    <w:tblStylePr w:type="band1Horz">
      <w:tblPr/>
      <w:tcPr>
        <w:tcBorders>
          <w:top w:val="nil"/>
          <w:left w:val="nil"/>
          <w:bottom w:val="single" w:color="000000" w:sz="6"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Subtle 2"/>
    <w:basedOn w:val="80"/>
    <w:semiHidden/>
    <w:qFormat/>
    <w:uiPriority w:val="0"/>
    <w:pPr>
      <w:widowControl w:val="0"/>
      <w:jc w:val="both"/>
    </w:pPr>
    <w:tblPr>
      <w:tblBorders>
        <w:left w:val="single" w:color="000000" w:sz="6" w:space="0"/>
        <w:right w:val="single" w:color="000000" w:sz="6" w:space="0"/>
      </w:tblBorders>
    </w:tblPr>
    <w:tblStylePr w:type="firstRow">
      <w:tblPr/>
      <w:tcPr>
        <w:tcBorders>
          <w:top w:val="nil"/>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1"/>
    <w:basedOn w:val="80"/>
    <w:semiHidden/>
    <w:qFormat/>
    <w:uiPriority w:val="0"/>
    <w:pPr>
      <w:widowControl w:val="0"/>
      <w:jc w:val="both"/>
    </w:pPr>
    <w:tblPr/>
    <w:tcPr>
      <w:shd w:val="solid" w:color="C0C0C0" w:fill="FFFFFF"/>
    </w:tcPr>
    <w:tblStylePr w:type="firstRow">
      <w:rPr>
        <w:b/>
        <w:bCs/>
        <w:color w:val="800080"/>
      </w:rPr>
      <w:tblPr/>
      <w:tcPr>
        <w:tcBorders>
          <w:top w:val="nil"/>
          <w:left w:val="nil"/>
          <w:bottom w:val="single" w:color="808080" w:sz="6" w:space="0"/>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single" w:color="FFFFFF" w:sz="6" w:space="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7">
    <w:name w:val="Table 3D effects 2"/>
    <w:basedOn w:val="80"/>
    <w:semiHidden/>
    <w:qFormat/>
    <w:uiPriority w:val="0"/>
    <w:pPr>
      <w:widowControl w:val="0"/>
      <w:jc w:val="both"/>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nil"/>
          <w:bottom w:val="single" w:color="FFFFFF" w:sz="6" w:space="0"/>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3D effects 3"/>
    <w:basedOn w:val="80"/>
    <w:semiHidden/>
    <w:qFormat/>
    <w:uiPriority w:val="0"/>
    <w:pPr>
      <w:widowControl w:val="0"/>
      <w:jc w:val="both"/>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nil"/>
          <w:bottom w:val="single" w:color="FFFFFF" w:sz="6" w:space="0"/>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1"/>
    <w:basedOn w:val="80"/>
    <w:semiHidden/>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nil"/>
          <w:bottom w:val="single" w:color="000000" w:sz="6" w:space="0"/>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0">
    <w:name w:val="Table List 2"/>
    <w:basedOn w:val="80"/>
    <w:semiHidden/>
    <w:qFormat/>
    <w:uiPriority w:val="0"/>
    <w:pPr>
      <w:widowControl w:val="0"/>
      <w:jc w:val="both"/>
    </w:pPr>
    <w:tblPr>
      <w:tblBorders>
        <w:bottom w:val="single" w:color="808080" w:sz="12" w:space="0"/>
      </w:tblBorders>
    </w:tblPr>
    <w:tblStylePr w:type="firstRow">
      <w:rPr>
        <w:b/>
        <w:bCs/>
        <w:color w:val="FFFFFF"/>
      </w:rPr>
      <w:tblPr/>
      <w:tcPr>
        <w:tcBorders>
          <w:top w:val="nil"/>
          <w:left w:val="nil"/>
          <w:bottom w:val="single" w:color="000000" w:sz="6" w:space="0"/>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1">
    <w:name w:val="Table List 3"/>
    <w:basedOn w:val="80"/>
    <w:semiHidden/>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2">
    <w:name w:val="Table List 4"/>
    <w:basedOn w:val="80"/>
    <w:semiHidden/>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nil"/>
          <w:bottom w:val="single" w:color="000000" w:sz="12" w:space="0"/>
          <w:right w:val="nil"/>
          <w:insideH w:val="nil"/>
          <w:insideV w:val="nil"/>
          <w:tl2br w:val="nil"/>
          <w:tr2bl w:val="nil"/>
        </w:tcBorders>
        <w:shd w:val="solid" w:color="808080" w:fill="FFFFFF"/>
      </w:tcPr>
    </w:tblStylePr>
  </w:style>
  <w:style w:type="table" w:styleId="103">
    <w:name w:val="Table List 5"/>
    <w:basedOn w:val="80"/>
    <w:semiHidden/>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nil"/>
          <w:bottom w:val="single" w:color="000000" w:sz="12" w:space="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4">
    <w:name w:val="Table List 6"/>
    <w:basedOn w:val="80"/>
    <w:semiHidden/>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nil"/>
          <w:bottom w:val="single" w:color="000000" w:sz="12" w:space="0"/>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5">
    <w:name w:val="Table List 7"/>
    <w:basedOn w:val="80"/>
    <w:semiHidden/>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6">
    <w:name w:val="Table List 8"/>
    <w:basedOn w:val="80"/>
    <w:semiHidden/>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nil"/>
          <w:bottom w:val="single" w:color="000000" w:sz="6" w:space="0"/>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7">
    <w:name w:val="Table Contemporary"/>
    <w:basedOn w:val="80"/>
    <w:semiHidden/>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8">
    <w:name w:val="Table Columns 1"/>
    <w:basedOn w:val="80"/>
    <w:semiHidden/>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nil"/>
          <w:bottom w:val="double" w:color="000000" w:sz="6" w:space="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9">
    <w:name w:val="Table Columns 2"/>
    <w:basedOn w:val="80"/>
    <w:semiHidden/>
    <w:qFormat/>
    <w:uiPriority w:val="0"/>
    <w:pPr>
      <w:widowControl w:val="0"/>
      <w:jc w:val="both"/>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0">
    <w:name w:val="Table Columns 3"/>
    <w:basedOn w:val="80"/>
    <w:semiHidden/>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11">
    <w:name w:val="Table Columns 4"/>
    <w:basedOn w:val="80"/>
    <w:semiHidden/>
    <w:qFormat/>
    <w:uiPriority w:val="0"/>
    <w:pPr>
      <w:widowControl w:val="0"/>
      <w:jc w:val="both"/>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2">
    <w:name w:val="Table Columns 5"/>
    <w:basedOn w:val="80"/>
    <w:semiHidden/>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nil"/>
          <w:bottom w:val="single" w:color="808080" w:sz="6" w:space="0"/>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3">
    <w:name w:val="Table Grid 1"/>
    <w:basedOn w:val="80"/>
    <w:semiHidden/>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2"/>
    <w:basedOn w:val="80"/>
    <w:semiHidden/>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5">
    <w:name w:val="Table Grid 3"/>
    <w:basedOn w:val="80"/>
    <w:semiHidden/>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4"/>
    <w:basedOn w:val="80"/>
    <w:semiHidden/>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Grid 5"/>
    <w:basedOn w:val="80"/>
    <w:semiHidden/>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6"/>
    <w:basedOn w:val="80"/>
    <w:semiHidden/>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9">
    <w:name w:val="Table Grid 7"/>
    <w:basedOn w:val="80"/>
    <w:semiHidden/>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nil"/>
          <w:bottom w:val="single" w:color="000000" w:sz="12" w:space="0"/>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0">
    <w:name w:val="Table Grid 8"/>
    <w:basedOn w:val="80"/>
    <w:semiHidden/>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21">
    <w:name w:val="Table Web 1"/>
    <w:basedOn w:val="80"/>
    <w:semiHidden/>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Web 2"/>
    <w:basedOn w:val="80"/>
    <w:semiHidden/>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3">
    <w:name w:val="Table Web 3"/>
    <w:basedOn w:val="80"/>
    <w:semiHidden/>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4">
    <w:name w:val="Table Professional"/>
    <w:basedOn w:val="80"/>
    <w:semiHidden/>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6">
    <w:name w:val="line number"/>
    <w:semiHidden/>
    <w:qFormat/>
    <w:uiPriority w:val="0"/>
  </w:style>
  <w:style w:type="character" w:styleId="127">
    <w:name w:val="HTML Definition"/>
    <w:semiHidden/>
    <w:qFormat/>
    <w:uiPriority w:val="0"/>
    <w:rPr>
      <w:i/>
      <w:iCs/>
    </w:rPr>
  </w:style>
  <w:style w:type="character" w:styleId="128">
    <w:name w:val="HTML Typewriter"/>
    <w:semiHidden/>
    <w:qFormat/>
    <w:uiPriority w:val="0"/>
    <w:rPr>
      <w:rFonts w:ascii="Courier New" w:hAnsi="Courier New" w:cs="Courier New"/>
      <w:sz w:val="20"/>
      <w:szCs w:val="20"/>
    </w:rPr>
  </w:style>
  <w:style w:type="character" w:styleId="129">
    <w:name w:val="HTML Acronym"/>
    <w:semiHidden/>
    <w:qFormat/>
    <w:uiPriority w:val="0"/>
  </w:style>
  <w:style w:type="character" w:styleId="130">
    <w:name w:val="HTML Variable"/>
    <w:semiHidden/>
    <w:qFormat/>
    <w:uiPriority w:val="0"/>
    <w:rPr>
      <w:i/>
      <w:iCs/>
    </w:rPr>
  </w:style>
  <w:style w:type="character" w:styleId="131">
    <w:name w:val="Hyperlink"/>
    <w:basedOn w:val="125"/>
    <w:unhideWhenUsed/>
    <w:qFormat/>
    <w:uiPriority w:val="99"/>
    <w:rPr>
      <w:color w:val="0000FF"/>
      <w:u w:val="single"/>
    </w:rPr>
  </w:style>
  <w:style w:type="character" w:styleId="132">
    <w:name w:val="HTML Code"/>
    <w:semiHidden/>
    <w:qFormat/>
    <w:uiPriority w:val="0"/>
    <w:rPr>
      <w:rFonts w:ascii="Courier New" w:hAnsi="Courier New" w:cs="Courier New"/>
      <w:sz w:val="20"/>
      <w:szCs w:val="20"/>
    </w:rPr>
  </w:style>
  <w:style w:type="character" w:styleId="133">
    <w:name w:val="annotation reference"/>
    <w:semiHidden/>
    <w:qFormat/>
    <w:uiPriority w:val="0"/>
    <w:rPr>
      <w:sz w:val="21"/>
      <w:szCs w:val="21"/>
    </w:rPr>
  </w:style>
  <w:style w:type="character" w:styleId="134">
    <w:name w:val="HTML Cite"/>
    <w:semiHidden/>
    <w:qFormat/>
    <w:uiPriority w:val="0"/>
    <w:rPr>
      <w:i/>
      <w:iCs/>
    </w:rPr>
  </w:style>
  <w:style w:type="character" w:styleId="135">
    <w:name w:val="footnote reference"/>
    <w:basedOn w:val="125"/>
    <w:semiHidden/>
    <w:unhideWhenUsed/>
    <w:qFormat/>
    <w:uiPriority w:val="99"/>
    <w:rPr>
      <w:vertAlign w:val="superscript"/>
    </w:rPr>
  </w:style>
  <w:style w:type="character" w:styleId="136">
    <w:name w:val="HTML Keyboard"/>
    <w:semiHidden/>
    <w:qFormat/>
    <w:uiPriority w:val="0"/>
    <w:rPr>
      <w:rFonts w:ascii="Courier New" w:hAnsi="Courier New" w:cs="Courier New"/>
      <w:sz w:val="20"/>
      <w:szCs w:val="20"/>
    </w:rPr>
  </w:style>
  <w:style w:type="character" w:styleId="137">
    <w:name w:val="HTML Sample"/>
    <w:semiHidden/>
    <w:qFormat/>
    <w:uiPriority w:val="0"/>
    <w:rPr>
      <w:rFonts w:ascii="Courier New" w:hAnsi="Courier New" w:cs="Courier New"/>
    </w:rPr>
  </w:style>
  <w:style w:type="character" w:customStyle="1" w:styleId="138">
    <w:name w:val="标题 1 字符"/>
    <w:basedOn w:val="125"/>
    <w:link w:val="2"/>
    <w:qFormat/>
    <w:uiPriority w:val="0"/>
    <w:rPr>
      <w:rFonts w:asciiTheme="majorHAnsi" w:hAnsiTheme="majorHAnsi" w:eastAsiaTheme="majorEastAsia" w:cstheme="majorBidi"/>
      <w:color w:val="0F4761" w:themeColor="accent1" w:themeShade="BF"/>
      <w:sz w:val="48"/>
      <w:szCs w:val="48"/>
    </w:rPr>
  </w:style>
  <w:style w:type="character" w:customStyle="1" w:styleId="139">
    <w:name w:val="标题 2 字符"/>
    <w:basedOn w:val="125"/>
    <w:link w:val="3"/>
    <w:qFormat/>
    <w:uiPriority w:val="0"/>
    <w:rPr>
      <w:rFonts w:asciiTheme="majorHAnsi" w:hAnsiTheme="majorHAnsi" w:eastAsiaTheme="majorEastAsia" w:cstheme="majorBidi"/>
      <w:color w:val="0F4761" w:themeColor="accent1" w:themeShade="BF"/>
      <w:sz w:val="40"/>
      <w:szCs w:val="40"/>
    </w:rPr>
  </w:style>
  <w:style w:type="character" w:customStyle="1" w:styleId="140">
    <w:name w:val="标题 3 字符"/>
    <w:basedOn w:val="125"/>
    <w:link w:val="4"/>
    <w:qFormat/>
    <w:uiPriority w:val="0"/>
    <w:rPr>
      <w:rFonts w:asciiTheme="majorHAnsi" w:hAnsiTheme="majorHAnsi" w:eastAsiaTheme="majorEastAsia" w:cstheme="majorBidi"/>
      <w:color w:val="0F4761" w:themeColor="accent1" w:themeShade="BF"/>
      <w:sz w:val="32"/>
      <w:szCs w:val="32"/>
    </w:rPr>
  </w:style>
  <w:style w:type="character" w:customStyle="1" w:styleId="141">
    <w:name w:val="标题 4 字符"/>
    <w:basedOn w:val="125"/>
    <w:link w:val="5"/>
    <w:qFormat/>
    <w:uiPriority w:val="0"/>
    <w:rPr>
      <w:rFonts w:cstheme="majorBidi"/>
      <w:color w:val="0F4761" w:themeColor="accent1" w:themeShade="BF"/>
      <w:sz w:val="28"/>
      <w:szCs w:val="28"/>
    </w:rPr>
  </w:style>
  <w:style w:type="character" w:customStyle="1" w:styleId="142">
    <w:name w:val="标题 5 字符"/>
    <w:basedOn w:val="125"/>
    <w:link w:val="6"/>
    <w:qFormat/>
    <w:uiPriority w:val="0"/>
    <w:rPr>
      <w:rFonts w:cstheme="majorBidi"/>
      <w:color w:val="0F4761" w:themeColor="accent1" w:themeShade="BF"/>
      <w:sz w:val="24"/>
      <w:szCs w:val="24"/>
    </w:rPr>
  </w:style>
  <w:style w:type="character" w:customStyle="1" w:styleId="143">
    <w:name w:val="标题 6 字符"/>
    <w:basedOn w:val="125"/>
    <w:link w:val="7"/>
    <w:qFormat/>
    <w:uiPriority w:val="0"/>
    <w:rPr>
      <w:rFonts w:cstheme="majorBidi"/>
      <w:b/>
      <w:bCs/>
      <w:color w:val="0F4761" w:themeColor="accent1" w:themeShade="BF"/>
    </w:rPr>
  </w:style>
  <w:style w:type="character" w:customStyle="1" w:styleId="144">
    <w:name w:val="标题 7 字符"/>
    <w:basedOn w:val="125"/>
    <w:link w:val="8"/>
    <w:qFormat/>
    <w:uiPriority w:val="0"/>
    <w:rPr>
      <w:rFonts w:cstheme="majorBidi"/>
      <w:b/>
      <w:bCs/>
      <w:color w:val="585858" w:themeColor="text1" w:themeTint="A6"/>
    </w:rPr>
  </w:style>
  <w:style w:type="character" w:customStyle="1" w:styleId="145">
    <w:name w:val="标题 8 字符"/>
    <w:basedOn w:val="125"/>
    <w:link w:val="9"/>
    <w:qFormat/>
    <w:uiPriority w:val="0"/>
    <w:rPr>
      <w:rFonts w:cstheme="majorBidi"/>
      <w:color w:val="585858" w:themeColor="text1" w:themeTint="A6"/>
    </w:rPr>
  </w:style>
  <w:style w:type="character" w:customStyle="1" w:styleId="146">
    <w:name w:val="标题 9 字符"/>
    <w:basedOn w:val="125"/>
    <w:link w:val="10"/>
    <w:qFormat/>
    <w:uiPriority w:val="0"/>
    <w:rPr>
      <w:rFonts w:eastAsiaTheme="majorEastAsia" w:cstheme="majorBidi"/>
      <w:color w:val="585858" w:themeColor="text1" w:themeTint="A6"/>
    </w:rPr>
  </w:style>
  <w:style w:type="character" w:customStyle="1" w:styleId="147">
    <w:name w:val="标题 字符"/>
    <w:basedOn w:val="125"/>
    <w:link w:val="76"/>
    <w:qFormat/>
    <w:uiPriority w:val="10"/>
    <w:rPr>
      <w:rFonts w:asciiTheme="majorHAnsi" w:hAnsiTheme="majorHAnsi" w:eastAsiaTheme="majorEastAsia" w:cstheme="majorBidi"/>
      <w:spacing w:val="-10"/>
      <w:kern w:val="28"/>
      <w:sz w:val="56"/>
      <w:szCs w:val="56"/>
    </w:rPr>
  </w:style>
  <w:style w:type="character" w:customStyle="1" w:styleId="148">
    <w:name w:val="副标题 字符"/>
    <w:basedOn w:val="125"/>
    <w:link w:val="59"/>
    <w:qFormat/>
    <w:uiPriority w:val="11"/>
    <w:rPr>
      <w:rFonts w:asciiTheme="majorHAnsi" w:hAnsiTheme="majorHAnsi" w:eastAsiaTheme="majorEastAsia" w:cstheme="majorBidi"/>
      <w:color w:val="585858" w:themeColor="text1" w:themeTint="A6"/>
      <w:spacing w:val="15"/>
      <w:sz w:val="28"/>
      <w:szCs w:val="28"/>
    </w:rPr>
  </w:style>
  <w:style w:type="paragraph" w:styleId="149">
    <w:name w:val="Quote"/>
    <w:basedOn w:val="1"/>
    <w:next w:val="1"/>
    <w:link w:val="150"/>
    <w:qFormat/>
    <w:uiPriority w:val="29"/>
    <w:pPr>
      <w:spacing w:before="160" w:after="160"/>
      <w:jc w:val="center"/>
    </w:pPr>
    <w:rPr>
      <w:i/>
      <w:iCs/>
      <w:color w:val="3F3F3F" w:themeColor="text1" w:themeTint="BF"/>
    </w:rPr>
  </w:style>
  <w:style w:type="character" w:customStyle="1" w:styleId="150">
    <w:name w:val="引用 字符"/>
    <w:basedOn w:val="125"/>
    <w:link w:val="149"/>
    <w:qFormat/>
    <w:uiPriority w:val="29"/>
    <w:rPr>
      <w:i/>
      <w:iCs/>
      <w:color w:val="3F3F3F" w:themeColor="text1" w:themeTint="BF"/>
    </w:rPr>
  </w:style>
  <w:style w:type="paragraph" w:styleId="151">
    <w:name w:val="List Paragraph"/>
    <w:basedOn w:val="1"/>
    <w:qFormat/>
    <w:uiPriority w:val="34"/>
    <w:pPr>
      <w:ind w:left="720"/>
      <w:contextualSpacing/>
    </w:pPr>
  </w:style>
  <w:style w:type="character" w:customStyle="1" w:styleId="152">
    <w:name w:val="明显强调1"/>
    <w:basedOn w:val="125"/>
    <w:qFormat/>
    <w:uiPriority w:val="21"/>
    <w:rPr>
      <w:i/>
      <w:iCs/>
      <w:color w:val="0F4761" w:themeColor="accent1" w:themeShade="BF"/>
    </w:rPr>
  </w:style>
  <w:style w:type="paragraph" w:styleId="153">
    <w:name w:val="Intense Quote"/>
    <w:basedOn w:val="1"/>
    <w:next w:val="1"/>
    <w:link w:val="15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154">
    <w:name w:val="明显引用 字符"/>
    <w:basedOn w:val="125"/>
    <w:link w:val="153"/>
    <w:qFormat/>
    <w:uiPriority w:val="30"/>
    <w:rPr>
      <w:i/>
      <w:iCs/>
      <w:color w:val="0F4761" w:themeColor="accent1" w:themeShade="BF"/>
    </w:rPr>
  </w:style>
  <w:style w:type="character" w:customStyle="1" w:styleId="155">
    <w:name w:val="明显参考1"/>
    <w:basedOn w:val="125"/>
    <w:qFormat/>
    <w:uiPriority w:val="32"/>
    <w:rPr>
      <w:b/>
      <w:bCs/>
      <w:smallCaps/>
      <w:color w:val="0F4761" w:themeColor="accent1" w:themeShade="BF"/>
      <w:spacing w:val="5"/>
    </w:rPr>
  </w:style>
  <w:style w:type="character" w:customStyle="1" w:styleId="156">
    <w:name w:val="页眉 字符"/>
    <w:basedOn w:val="125"/>
    <w:link w:val="52"/>
    <w:qFormat/>
    <w:uiPriority w:val="0"/>
    <w:rPr>
      <w:sz w:val="18"/>
      <w:szCs w:val="18"/>
    </w:rPr>
  </w:style>
  <w:style w:type="character" w:customStyle="1" w:styleId="157">
    <w:name w:val="页脚 字符"/>
    <w:basedOn w:val="125"/>
    <w:link w:val="50"/>
    <w:qFormat/>
    <w:uiPriority w:val="99"/>
    <w:rPr>
      <w:sz w:val="18"/>
      <w:szCs w:val="18"/>
    </w:rPr>
  </w:style>
  <w:style w:type="character" w:customStyle="1" w:styleId="158">
    <w:name w:val="注释标题 字符"/>
    <w:basedOn w:val="125"/>
    <w:link w:val="14"/>
    <w:semiHidden/>
    <w:qFormat/>
    <w:uiPriority w:val="0"/>
    <w:rPr>
      <w:rFonts w:ascii="Times New Roman" w:hAnsi="Times New Roman" w:eastAsia="宋体" w:cs="Times New Roman"/>
      <w:szCs w:val="24"/>
    </w:rPr>
  </w:style>
  <w:style w:type="character" w:customStyle="1" w:styleId="159">
    <w:name w:val="电子邮件签名 字符"/>
    <w:basedOn w:val="125"/>
    <w:link w:val="17"/>
    <w:semiHidden/>
    <w:qFormat/>
    <w:uiPriority w:val="0"/>
    <w:rPr>
      <w:rFonts w:ascii="Times New Roman" w:hAnsi="Times New Roman" w:eastAsia="宋体" w:cs="Times New Roman"/>
      <w:szCs w:val="24"/>
    </w:rPr>
  </w:style>
  <w:style w:type="character" w:customStyle="1" w:styleId="160">
    <w:name w:val="文档结构图 字符"/>
    <w:basedOn w:val="125"/>
    <w:link w:val="22"/>
    <w:semiHidden/>
    <w:qFormat/>
    <w:uiPriority w:val="0"/>
    <w:rPr>
      <w:rFonts w:ascii="Times New Roman" w:hAnsi="Times New Roman" w:eastAsia="宋体" w:cs="Times New Roman"/>
      <w:szCs w:val="20"/>
      <w:shd w:val="clear" w:color="auto" w:fill="000080"/>
    </w:rPr>
  </w:style>
  <w:style w:type="character" w:customStyle="1" w:styleId="161">
    <w:name w:val="批注文字 字符"/>
    <w:basedOn w:val="125"/>
    <w:link w:val="24"/>
    <w:qFormat/>
    <w:uiPriority w:val="0"/>
    <w:rPr>
      <w:rFonts w:ascii="Times New Roman" w:hAnsi="Times New Roman" w:eastAsia="宋体" w:cs="Times New Roman"/>
      <w:szCs w:val="20"/>
    </w:rPr>
  </w:style>
  <w:style w:type="character" w:customStyle="1" w:styleId="162">
    <w:name w:val="称呼 字符"/>
    <w:basedOn w:val="125"/>
    <w:link w:val="26"/>
    <w:semiHidden/>
    <w:qFormat/>
    <w:uiPriority w:val="0"/>
    <w:rPr>
      <w:rFonts w:ascii="Times New Roman" w:hAnsi="Times New Roman" w:eastAsia="宋体" w:cs="Times New Roman"/>
      <w:szCs w:val="24"/>
    </w:rPr>
  </w:style>
  <w:style w:type="character" w:customStyle="1" w:styleId="163">
    <w:name w:val="正文文本 3 字符"/>
    <w:basedOn w:val="125"/>
    <w:link w:val="27"/>
    <w:semiHidden/>
    <w:qFormat/>
    <w:uiPriority w:val="0"/>
    <w:rPr>
      <w:rFonts w:ascii="Times New Roman" w:hAnsi="Times New Roman" w:eastAsia="宋体" w:cs="Times New Roman"/>
      <w:sz w:val="16"/>
      <w:szCs w:val="16"/>
    </w:rPr>
  </w:style>
  <w:style w:type="character" w:customStyle="1" w:styleId="164">
    <w:name w:val="结束语 字符"/>
    <w:basedOn w:val="125"/>
    <w:link w:val="28"/>
    <w:semiHidden/>
    <w:qFormat/>
    <w:uiPriority w:val="0"/>
    <w:rPr>
      <w:rFonts w:ascii="Times New Roman" w:hAnsi="Times New Roman" w:eastAsia="宋体" w:cs="Times New Roman"/>
      <w:szCs w:val="24"/>
    </w:rPr>
  </w:style>
  <w:style w:type="character" w:customStyle="1" w:styleId="165">
    <w:name w:val="正文文本 字符"/>
    <w:basedOn w:val="125"/>
    <w:link w:val="30"/>
    <w:qFormat/>
    <w:uiPriority w:val="99"/>
  </w:style>
  <w:style w:type="character" w:customStyle="1" w:styleId="166">
    <w:name w:val="正文文本缩进 字符"/>
    <w:basedOn w:val="125"/>
    <w:link w:val="31"/>
    <w:qFormat/>
    <w:uiPriority w:val="99"/>
  </w:style>
  <w:style w:type="character" w:customStyle="1" w:styleId="167">
    <w:name w:val="HTML 地址 字符"/>
    <w:basedOn w:val="125"/>
    <w:link w:val="37"/>
    <w:semiHidden/>
    <w:qFormat/>
    <w:uiPriority w:val="0"/>
    <w:rPr>
      <w:rFonts w:ascii="Times New Roman" w:hAnsi="Times New Roman" w:eastAsia="宋体" w:cs="Times New Roman"/>
      <w:i/>
      <w:iCs/>
      <w:szCs w:val="24"/>
    </w:rPr>
  </w:style>
  <w:style w:type="character" w:customStyle="1" w:styleId="168">
    <w:name w:val="纯文本 字符"/>
    <w:basedOn w:val="125"/>
    <w:link w:val="41"/>
    <w:qFormat/>
    <w:uiPriority w:val="0"/>
    <w:rPr>
      <w:rFonts w:ascii="宋体" w:hAnsi="Courier New"/>
      <w:szCs w:val="21"/>
    </w:rPr>
  </w:style>
  <w:style w:type="character" w:customStyle="1" w:styleId="169">
    <w:name w:val="日期 字符"/>
    <w:basedOn w:val="125"/>
    <w:link w:val="46"/>
    <w:qFormat/>
    <w:uiPriority w:val="0"/>
    <w:rPr>
      <w:rFonts w:ascii="Times New Roman" w:hAnsi="Times New Roman" w:eastAsia="宋体" w:cs="Times New Roman"/>
      <w:szCs w:val="20"/>
    </w:rPr>
  </w:style>
  <w:style w:type="character" w:customStyle="1" w:styleId="170">
    <w:name w:val="正文文本缩进 2 字符"/>
    <w:basedOn w:val="125"/>
    <w:link w:val="47"/>
    <w:semiHidden/>
    <w:qFormat/>
    <w:uiPriority w:val="0"/>
    <w:rPr>
      <w:rFonts w:ascii="Times New Roman" w:hAnsi="Times New Roman" w:eastAsia="宋体" w:cs="Times New Roman"/>
      <w:szCs w:val="24"/>
    </w:rPr>
  </w:style>
  <w:style w:type="character" w:customStyle="1" w:styleId="171">
    <w:name w:val="批注框文本 字符"/>
    <w:basedOn w:val="125"/>
    <w:link w:val="49"/>
    <w:semiHidden/>
    <w:qFormat/>
    <w:uiPriority w:val="0"/>
    <w:rPr>
      <w:rFonts w:ascii="Times New Roman" w:hAnsi="Times New Roman" w:eastAsia="宋体" w:cs="Times New Roman"/>
      <w:sz w:val="18"/>
      <w:szCs w:val="18"/>
    </w:rPr>
  </w:style>
  <w:style w:type="character" w:customStyle="1" w:styleId="172">
    <w:name w:val="签名 字符"/>
    <w:basedOn w:val="125"/>
    <w:link w:val="53"/>
    <w:semiHidden/>
    <w:qFormat/>
    <w:uiPriority w:val="0"/>
    <w:rPr>
      <w:rFonts w:ascii="Times New Roman" w:hAnsi="Times New Roman" w:eastAsia="宋体" w:cs="Times New Roman"/>
      <w:szCs w:val="24"/>
    </w:rPr>
  </w:style>
  <w:style w:type="character" w:customStyle="1" w:styleId="173">
    <w:name w:val="脚注文本 字符"/>
    <w:basedOn w:val="125"/>
    <w:link w:val="62"/>
    <w:qFormat/>
    <w:uiPriority w:val="0"/>
    <w:rPr>
      <w:rFonts w:ascii="Times New Roman" w:hAnsi="Times New Roman" w:cs="Times New Roman"/>
      <w:sz w:val="18"/>
    </w:rPr>
  </w:style>
  <w:style w:type="character" w:customStyle="1" w:styleId="174">
    <w:name w:val="信息标题 字符"/>
    <w:basedOn w:val="125"/>
    <w:link w:val="71"/>
    <w:semiHidden/>
    <w:qFormat/>
    <w:uiPriority w:val="0"/>
    <w:rPr>
      <w:rFonts w:ascii="Arial" w:hAnsi="Arial" w:eastAsia="宋体" w:cs="Arial"/>
      <w:sz w:val="24"/>
      <w:szCs w:val="24"/>
      <w:shd w:val="pct20" w:color="auto" w:fill="auto"/>
    </w:rPr>
  </w:style>
  <w:style w:type="character" w:customStyle="1" w:styleId="175">
    <w:name w:val="HTML 预设格式 字符"/>
    <w:basedOn w:val="125"/>
    <w:link w:val="72"/>
    <w:semiHidden/>
    <w:qFormat/>
    <w:uiPriority w:val="0"/>
    <w:rPr>
      <w:rFonts w:ascii="宋体" w:hAnsi="宋体" w:eastAsia="宋体" w:cs="宋体"/>
      <w:color w:val="000000"/>
      <w:kern w:val="0"/>
      <w:sz w:val="24"/>
      <w:szCs w:val="24"/>
    </w:rPr>
  </w:style>
  <w:style w:type="character" w:customStyle="1" w:styleId="176">
    <w:name w:val="批注主题 字符"/>
    <w:basedOn w:val="161"/>
    <w:link w:val="77"/>
    <w:semiHidden/>
    <w:qFormat/>
    <w:uiPriority w:val="0"/>
    <w:rPr>
      <w:rFonts w:ascii="Times New Roman" w:hAnsi="Times New Roman" w:eastAsia="宋体" w:cs="Times New Roman"/>
      <w:b/>
      <w:bCs/>
      <w:szCs w:val="24"/>
    </w:rPr>
  </w:style>
  <w:style w:type="character" w:customStyle="1" w:styleId="177">
    <w:name w:val="正文文本首行缩进 字符"/>
    <w:basedOn w:val="165"/>
    <w:link w:val="78"/>
    <w:semiHidden/>
    <w:qFormat/>
    <w:uiPriority w:val="0"/>
    <w:rPr>
      <w:rFonts w:ascii="Times New Roman" w:hAnsi="Times New Roman" w:eastAsia="宋体" w:cs="Times New Roman"/>
      <w:szCs w:val="24"/>
    </w:rPr>
  </w:style>
  <w:style w:type="character" w:customStyle="1" w:styleId="178">
    <w:name w:val="正文文本首行缩进 2 字符"/>
    <w:basedOn w:val="166"/>
    <w:link w:val="79"/>
    <w:semiHidden/>
    <w:qFormat/>
    <w:uiPriority w:val="0"/>
    <w:rPr>
      <w:rFonts w:ascii="Times New Roman" w:hAnsi="Times New Roman" w:eastAsia="宋体" w:cs="Times New Roman"/>
      <w:szCs w:val="24"/>
    </w:rPr>
  </w:style>
  <w:style w:type="character" w:customStyle="1" w:styleId="179">
    <w:name w:val="f142"/>
    <w:semiHidden/>
    <w:qFormat/>
    <w:uiPriority w:val="0"/>
    <w:rPr>
      <w:sz w:val="21"/>
      <w:szCs w:val="21"/>
    </w:rPr>
  </w:style>
  <w:style w:type="character" w:customStyle="1" w:styleId="180">
    <w:name w:val="f14b1"/>
    <w:semiHidden/>
    <w:qFormat/>
    <w:uiPriority w:val="0"/>
    <w:rPr>
      <w:b/>
      <w:bCs/>
      <w:sz w:val="21"/>
      <w:szCs w:val="21"/>
    </w:rPr>
  </w:style>
  <w:style w:type="character" w:customStyle="1" w:styleId="181">
    <w:name w:val="unnamed211"/>
    <w:semiHidden/>
    <w:qFormat/>
    <w:uiPriority w:val="0"/>
    <w:rPr>
      <w:sz w:val="23"/>
      <w:szCs w:val="23"/>
    </w:rPr>
  </w:style>
  <w:style w:type="character" w:customStyle="1" w:styleId="182">
    <w:name w:val="z-窗体底端 字符"/>
    <w:link w:val="183"/>
    <w:qFormat/>
    <w:uiPriority w:val="99"/>
    <w:rPr>
      <w:rFonts w:ascii="Arial" w:hAnsi="Arial" w:eastAsia="宋体" w:cs="Times New Roman"/>
      <w:vanish/>
      <w:kern w:val="0"/>
      <w:sz w:val="16"/>
      <w:szCs w:val="16"/>
    </w:rPr>
  </w:style>
  <w:style w:type="paragraph" w:customStyle="1" w:styleId="183">
    <w:name w:val="z-窗体底端1"/>
    <w:basedOn w:val="1"/>
    <w:next w:val="1"/>
    <w:link w:val="182"/>
    <w:unhideWhenUsed/>
    <w:qFormat/>
    <w:uiPriority w:val="99"/>
    <w:pPr>
      <w:widowControl/>
      <w:pBdr>
        <w:top w:val="single" w:color="auto" w:sz="6" w:space="1"/>
      </w:pBdr>
      <w:jc w:val="center"/>
    </w:pPr>
    <w:rPr>
      <w:rFonts w:ascii="Arial" w:hAnsi="Arial" w:eastAsia="宋体" w:cs="Times New Roman"/>
      <w:vanish/>
      <w:kern w:val="0"/>
      <w:sz w:val="16"/>
      <w:szCs w:val="16"/>
    </w:rPr>
  </w:style>
  <w:style w:type="character" w:customStyle="1" w:styleId="184">
    <w:name w:val="ss1"/>
    <w:semiHidden/>
    <w:qFormat/>
    <w:uiPriority w:val="0"/>
    <w:rPr>
      <w:rFonts w:hint="default" w:ascii="ˎ̥" w:hAnsi="ˎ̥"/>
      <w:color w:val="000000"/>
      <w:sz w:val="18"/>
      <w:szCs w:val="18"/>
      <w:u w:val="none"/>
    </w:rPr>
  </w:style>
  <w:style w:type="character" w:customStyle="1" w:styleId="185">
    <w:name w:val="z-窗体顶端 字符"/>
    <w:link w:val="186"/>
    <w:qFormat/>
    <w:uiPriority w:val="99"/>
    <w:rPr>
      <w:rFonts w:ascii="Arial" w:hAnsi="Arial" w:eastAsia="宋体" w:cs="Times New Roman"/>
      <w:vanish/>
      <w:kern w:val="0"/>
      <w:sz w:val="16"/>
      <w:szCs w:val="16"/>
    </w:rPr>
  </w:style>
  <w:style w:type="paragraph" w:customStyle="1" w:styleId="186">
    <w:name w:val="z-窗体顶端1"/>
    <w:basedOn w:val="1"/>
    <w:next w:val="1"/>
    <w:link w:val="185"/>
    <w:unhideWhenUsed/>
    <w:qFormat/>
    <w:uiPriority w:val="99"/>
    <w:pPr>
      <w:widowControl/>
      <w:pBdr>
        <w:bottom w:val="single" w:color="auto" w:sz="6" w:space="1"/>
      </w:pBdr>
      <w:jc w:val="center"/>
    </w:pPr>
    <w:rPr>
      <w:rFonts w:ascii="Arial" w:hAnsi="Arial" w:eastAsia="宋体" w:cs="Times New Roman"/>
      <w:vanish/>
      <w:kern w:val="0"/>
      <w:sz w:val="16"/>
      <w:szCs w:val="16"/>
    </w:rPr>
  </w:style>
  <w:style w:type="character" w:customStyle="1" w:styleId="187">
    <w:name w:val="ggwenhao"/>
    <w:semiHidden/>
    <w:qFormat/>
    <w:uiPriority w:val="0"/>
  </w:style>
  <w:style w:type="character" w:customStyle="1" w:styleId="188">
    <w:name w:val="日期 字符1"/>
    <w:basedOn w:val="125"/>
    <w:semiHidden/>
    <w:qFormat/>
    <w:uiPriority w:val="99"/>
  </w:style>
  <w:style w:type="character" w:customStyle="1" w:styleId="189">
    <w:name w:val="正文文本 字符1"/>
    <w:basedOn w:val="125"/>
    <w:semiHidden/>
    <w:qFormat/>
    <w:uiPriority w:val="99"/>
  </w:style>
  <w:style w:type="character" w:customStyle="1" w:styleId="190">
    <w:name w:val="文档结构图 字符1"/>
    <w:basedOn w:val="125"/>
    <w:semiHidden/>
    <w:qFormat/>
    <w:uiPriority w:val="99"/>
    <w:rPr>
      <w:rFonts w:ascii="Microsoft YaHei UI" w:eastAsia="Microsoft YaHei UI"/>
      <w:sz w:val="18"/>
      <w:szCs w:val="18"/>
    </w:rPr>
  </w:style>
  <w:style w:type="character" w:customStyle="1" w:styleId="191">
    <w:name w:val="HTML 地址 字符1"/>
    <w:basedOn w:val="125"/>
    <w:semiHidden/>
    <w:qFormat/>
    <w:uiPriority w:val="99"/>
    <w:rPr>
      <w:i/>
      <w:iCs/>
    </w:rPr>
  </w:style>
  <w:style w:type="character" w:customStyle="1" w:styleId="192">
    <w:name w:val="结束语 字符1"/>
    <w:basedOn w:val="125"/>
    <w:semiHidden/>
    <w:qFormat/>
    <w:uiPriority w:val="99"/>
  </w:style>
  <w:style w:type="character" w:customStyle="1" w:styleId="193">
    <w:name w:val="注释标题 字符1"/>
    <w:basedOn w:val="125"/>
    <w:semiHidden/>
    <w:qFormat/>
    <w:uiPriority w:val="99"/>
  </w:style>
  <w:style w:type="character" w:customStyle="1" w:styleId="194">
    <w:name w:val="正文文本 3 字符1"/>
    <w:basedOn w:val="125"/>
    <w:semiHidden/>
    <w:qFormat/>
    <w:uiPriority w:val="99"/>
    <w:rPr>
      <w:sz w:val="16"/>
      <w:szCs w:val="16"/>
    </w:rPr>
  </w:style>
  <w:style w:type="character" w:customStyle="1" w:styleId="195">
    <w:name w:val="称呼 字符1"/>
    <w:basedOn w:val="125"/>
    <w:semiHidden/>
    <w:qFormat/>
    <w:uiPriority w:val="99"/>
  </w:style>
  <w:style w:type="character" w:customStyle="1" w:styleId="196">
    <w:name w:val="纯文本 字符1"/>
    <w:basedOn w:val="125"/>
    <w:semiHidden/>
    <w:qFormat/>
    <w:uiPriority w:val="99"/>
    <w:rPr>
      <w:rFonts w:hAnsi="Courier New" w:cs="Courier New" w:asciiTheme="minorEastAsia"/>
    </w:rPr>
  </w:style>
  <w:style w:type="character" w:customStyle="1" w:styleId="197">
    <w:name w:val="批注文字 字符1"/>
    <w:basedOn w:val="125"/>
    <w:semiHidden/>
    <w:qFormat/>
    <w:uiPriority w:val="99"/>
  </w:style>
  <w:style w:type="character" w:customStyle="1" w:styleId="198">
    <w:name w:val="正文文本缩进 2 字符1"/>
    <w:basedOn w:val="125"/>
    <w:semiHidden/>
    <w:qFormat/>
    <w:uiPriority w:val="99"/>
  </w:style>
  <w:style w:type="character" w:customStyle="1" w:styleId="199">
    <w:name w:val="正文文本缩进 字符1"/>
    <w:basedOn w:val="125"/>
    <w:semiHidden/>
    <w:qFormat/>
    <w:uiPriority w:val="99"/>
  </w:style>
  <w:style w:type="character" w:customStyle="1" w:styleId="200">
    <w:name w:val="电子邮件签名 字符1"/>
    <w:basedOn w:val="125"/>
    <w:semiHidden/>
    <w:qFormat/>
    <w:uiPriority w:val="99"/>
  </w:style>
  <w:style w:type="character" w:customStyle="1" w:styleId="201">
    <w:name w:val="批注框文本 字符1"/>
    <w:basedOn w:val="125"/>
    <w:semiHidden/>
    <w:qFormat/>
    <w:uiPriority w:val="99"/>
    <w:rPr>
      <w:sz w:val="18"/>
      <w:szCs w:val="18"/>
    </w:rPr>
  </w:style>
  <w:style w:type="character" w:customStyle="1" w:styleId="202">
    <w:name w:val="页脚 字符1"/>
    <w:basedOn w:val="125"/>
    <w:semiHidden/>
    <w:qFormat/>
    <w:uiPriority w:val="99"/>
    <w:rPr>
      <w:sz w:val="18"/>
      <w:szCs w:val="18"/>
    </w:rPr>
  </w:style>
  <w:style w:type="character" w:customStyle="1" w:styleId="203">
    <w:name w:val="页眉 字符1"/>
    <w:basedOn w:val="125"/>
    <w:semiHidden/>
    <w:qFormat/>
    <w:uiPriority w:val="99"/>
    <w:rPr>
      <w:sz w:val="18"/>
      <w:szCs w:val="18"/>
    </w:rPr>
  </w:style>
  <w:style w:type="character" w:customStyle="1" w:styleId="204">
    <w:name w:val="签名 字符1"/>
    <w:basedOn w:val="125"/>
    <w:semiHidden/>
    <w:qFormat/>
    <w:uiPriority w:val="99"/>
  </w:style>
  <w:style w:type="character" w:customStyle="1" w:styleId="205">
    <w:name w:val="信息标题 字符1"/>
    <w:basedOn w:val="125"/>
    <w:semiHidden/>
    <w:qFormat/>
    <w:uiPriority w:val="99"/>
    <w:rPr>
      <w:rFonts w:asciiTheme="majorHAnsi" w:hAnsiTheme="majorHAnsi" w:eastAsiaTheme="majorEastAsia" w:cstheme="majorBidi"/>
      <w:sz w:val="24"/>
      <w:szCs w:val="24"/>
      <w:shd w:val="pct20" w:color="auto" w:fill="auto"/>
    </w:rPr>
  </w:style>
  <w:style w:type="character" w:customStyle="1" w:styleId="206">
    <w:name w:val="HTML 预设格式 字符1"/>
    <w:basedOn w:val="125"/>
    <w:semiHidden/>
    <w:qFormat/>
    <w:uiPriority w:val="99"/>
    <w:rPr>
      <w:rFonts w:ascii="Courier New" w:hAnsi="Courier New" w:cs="Courier New"/>
      <w:sz w:val="20"/>
      <w:szCs w:val="20"/>
    </w:rPr>
  </w:style>
  <w:style w:type="character" w:customStyle="1" w:styleId="207">
    <w:name w:val="批注主题 字符1"/>
    <w:basedOn w:val="197"/>
    <w:semiHidden/>
    <w:qFormat/>
    <w:uiPriority w:val="99"/>
    <w:rPr>
      <w:b/>
      <w:bCs/>
    </w:rPr>
  </w:style>
  <w:style w:type="character" w:customStyle="1" w:styleId="208">
    <w:name w:val="正文文本首行缩进 字符1"/>
    <w:basedOn w:val="189"/>
    <w:semiHidden/>
    <w:qFormat/>
    <w:uiPriority w:val="99"/>
  </w:style>
  <w:style w:type="character" w:customStyle="1" w:styleId="209">
    <w:name w:val="正文文本首行缩进 2 字符1"/>
    <w:basedOn w:val="199"/>
    <w:semiHidden/>
    <w:qFormat/>
    <w:uiPriority w:val="99"/>
  </w:style>
  <w:style w:type="paragraph" w:customStyle="1" w:styleId="210">
    <w:name w:val="ggtitle"/>
    <w:basedOn w:val="1"/>
    <w:semiHidden/>
    <w:qFormat/>
    <w:uiPriority w:val="0"/>
    <w:pPr>
      <w:widowControl/>
      <w:spacing w:before="100" w:beforeAutospacing="1" w:after="100" w:afterAutospacing="1" w:line="330" w:lineRule="atLeast"/>
      <w:jc w:val="left"/>
    </w:pPr>
    <w:rPr>
      <w:rFonts w:ascii="宋体" w:hAnsi="宋体" w:eastAsia="宋体" w:cs="宋体"/>
      <w:kern w:val="0"/>
      <w:sz w:val="23"/>
      <w:szCs w:val="23"/>
    </w:rPr>
  </w:style>
  <w:style w:type="paragraph" w:customStyle="1" w:styleId="211">
    <w:name w:val="ggbody"/>
    <w:basedOn w:val="1"/>
    <w:semiHidden/>
    <w:qFormat/>
    <w:uiPriority w:val="0"/>
    <w:pPr>
      <w:widowControl/>
      <w:spacing w:before="100" w:beforeAutospacing="1" w:after="100" w:afterAutospacing="1" w:line="330" w:lineRule="atLeast"/>
      <w:jc w:val="left"/>
    </w:pPr>
    <w:rPr>
      <w:rFonts w:ascii="宋体" w:hAnsi="宋体" w:eastAsia="宋体" w:cs="宋体"/>
      <w:kern w:val="0"/>
      <w:sz w:val="23"/>
      <w:szCs w:val="23"/>
    </w:rPr>
  </w:style>
  <w:style w:type="character" w:customStyle="1" w:styleId="212">
    <w:name w:val="z-窗体顶端 字符1"/>
    <w:basedOn w:val="125"/>
    <w:semiHidden/>
    <w:qFormat/>
    <w:uiPriority w:val="99"/>
    <w:rPr>
      <w:rFonts w:ascii="Arial" w:hAnsi="Arial" w:cs="Arial"/>
      <w:vanish/>
      <w:sz w:val="16"/>
      <w:szCs w:val="16"/>
    </w:rPr>
  </w:style>
  <w:style w:type="paragraph" w:customStyle="1" w:styleId="213">
    <w:name w:val="style9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4">
    <w:name w:val="WPSOffice手动目录 1"/>
    <w:qFormat/>
    <w:uiPriority w:val="0"/>
    <w:rPr>
      <w:rFonts w:ascii="Calibri" w:hAnsi="Calibri" w:eastAsia="宋体" w:cs="Calibri"/>
      <w:lang w:val="en-US" w:eastAsia="zh-CN" w:bidi="ar-SA"/>
      <w14:ligatures w14:val="standardContextual"/>
    </w:rPr>
  </w:style>
  <w:style w:type="character" w:customStyle="1" w:styleId="215">
    <w:name w:val="z-窗体底端 字符1"/>
    <w:basedOn w:val="125"/>
    <w:semiHidden/>
    <w:qFormat/>
    <w:uiPriority w:val="99"/>
    <w:rPr>
      <w:rFonts w:ascii="Arial" w:hAnsi="Arial" w:cs="Arial"/>
      <w:vanish/>
      <w:sz w:val="16"/>
      <w:szCs w:val="16"/>
    </w:rPr>
  </w:style>
  <w:style w:type="paragraph" w:customStyle="1" w:styleId="216">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217">
    <w:name w:val="明显强调11"/>
    <w:basedOn w:val="125"/>
    <w:qFormat/>
    <w:uiPriority w:val="21"/>
    <w:rPr>
      <w:i/>
      <w:iCs/>
      <w:color w:val="0F4761" w:themeColor="accent1" w:themeShade="BF"/>
    </w:rPr>
  </w:style>
  <w:style w:type="character" w:customStyle="1" w:styleId="218">
    <w:name w:val="明显参考11"/>
    <w:basedOn w:val="125"/>
    <w:qFormat/>
    <w:uiPriority w:val="32"/>
    <w:rPr>
      <w:b/>
      <w:bCs/>
      <w:smallCaps/>
      <w:color w:val="0F4761" w:themeColor="accent1" w:themeShade="BF"/>
      <w:spacing w:val="5"/>
    </w:rPr>
  </w:style>
  <w:style w:type="character" w:customStyle="1" w:styleId="219">
    <w:name w:val="z-窗体底端 Char"/>
    <w:qFormat/>
    <w:uiPriority w:val="99"/>
    <w:rPr>
      <w:rFonts w:ascii="Arial" w:hAnsi="Arial" w:eastAsia="宋体" w:cs="Times New Roman"/>
      <w:vanish/>
      <w:kern w:val="0"/>
      <w:sz w:val="16"/>
      <w:szCs w:val="16"/>
    </w:rPr>
  </w:style>
  <w:style w:type="character" w:customStyle="1" w:styleId="220">
    <w:name w:val="z-窗体顶端 Char"/>
    <w:qFormat/>
    <w:uiPriority w:val="99"/>
    <w:rPr>
      <w:rFonts w:ascii="Arial" w:hAnsi="Arial" w:eastAsia="宋体" w:cs="Times New Roman"/>
      <w:vanish/>
      <w:kern w:val="0"/>
      <w:sz w:val="16"/>
      <w:szCs w:val="16"/>
    </w:rPr>
  </w:style>
  <w:style w:type="table" w:customStyle="1" w:styleId="221">
    <w:name w:val="Table Grid_0"/>
    <w:basedOn w:val="80"/>
    <w:qFormat/>
    <w:uiPriority w:val="0"/>
    <w:pPr>
      <w:widowControl w:val="0"/>
      <w:spacing w:after="160" w:line="259" w:lineRule="auto"/>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2">
    <w:name w:val="修订1"/>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paragraph" w:customStyle="1" w:styleId="223">
    <w:name w:val="修订2"/>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paragraph" w:customStyle="1" w:styleId="224">
    <w:name w:val="Revision"/>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41</Pages>
  <Words>23199</Words>
  <Characters>24640</Characters>
  <Lines>196</Lines>
  <Paragraphs>55</Paragraphs>
  <TotalTime>2</TotalTime>
  <ScaleCrop>false</ScaleCrop>
  <LinksUpToDate>false</LinksUpToDate>
  <CharactersWithSpaces>25181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2025-08-18T03:02:00Z</dcterms:created>
  <dc:creator>admin</dc:creator>
  <cp:lastModifiedBy>高工</cp:lastModifiedBy>
  <dcterms:modified xsi:type="dcterms:W3CDTF">2026-06-09T08:58:36Z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eyJoZGlkIjoiNzc0OTc3NmRmNGM3Mjg1MmI1ZGU1MWU0OTM3ZTRkZjYiLCJ1c2VySWQiOiIzMTAzMDg1NjcifQ==</vt:lpwstr>
  </property>
  <property fmtid="{D5CDD505-2E9C-101B-9397-08002B2CF9AE}" pid="3" name="KSOProductBuildVer">
    <vt:lpwstr>2052-12.1.0.26375</vt:lpwstr>
  </property>
  <property fmtid="{D5CDD505-2E9C-101B-9397-08002B2CF9AE}" pid="4" name="ICV">
    <vt:lpwstr>5CFAB1B3A9CA4B8FBD9B423F5E15A65D_12</vt:lpwstr>
  </property>
</Properties>
</file>