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F22ED">
      <w:pPr>
        <w:pStyle w:val="4"/>
        <w:keepNext w:val="0"/>
        <w:pageBreakBefore w:val="0"/>
        <w:widowControl w:val="0"/>
        <w:kinsoku/>
        <w:overflowPunct/>
        <w:topLinePunct w:val="0"/>
        <w:autoSpaceDE/>
        <w:autoSpaceDN/>
        <w:bidi w:val="0"/>
        <w:spacing w:before="0" w:after="0" w:line="560" w:lineRule="exact"/>
        <w:textAlignment w:val="auto"/>
        <w:rPr>
          <w:rFonts w:ascii="宋体" w:hAnsi="宋体" w:cs="宋体"/>
        </w:rPr>
      </w:pPr>
      <w:r>
        <w:rPr>
          <w:rFonts w:hint="eastAsia" w:ascii="方正小标宋简体" w:hAnsi="方正小标宋简体" w:eastAsia="方正小标宋简体" w:cs="方正小标宋简体"/>
          <w:b w:val="0"/>
          <w:color w:val="auto"/>
          <w:kern w:val="2"/>
          <w:sz w:val="44"/>
          <w:szCs w:val="44"/>
          <w:lang w:val="en-US" w:eastAsia="zh-CN"/>
        </w:rPr>
        <w:t>青悦汇项目消防设施设备维修服务</w:t>
      </w:r>
      <w:r>
        <w:rPr>
          <w:rFonts w:hint="eastAsia" w:ascii="方正小标宋简体" w:hAnsi="方正小标宋简体" w:eastAsia="方正小标宋简体" w:cs="方正小标宋简体"/>
          <w:b w:val="0"/>
          <w:color w:val="auto"/>
          <w:kern w:val="2"/>
          <w:sz w:val="44"/>
          <w:szCs w:val="44"/>
        </w:rPr>
        <w:t>合同</w:t>
      </w:r>
    </w:p>
    <w:p w14:paraId="473D08D2">
      <w:pPr>
        <w:keepNext w:val="0"/>
        <w:pageBreakBefore w:val="0"/>
        <w:widowControl w:val="0"/>
        <w:kinsoku/>
        <w:overflowPunct/>
        <w:topLinePunct w:val="0"/>
        <w:autoSpaceDE/>
        <w:autoSpaceDN/>
        <w:bidi w:val="0"/>
        <w:adjustRightInd w:val="0"/>
        <w:snapToGrid w:val="0"/>
        <w:spacing w:line="560" w:lineRule="exact"/>
        <w:ind w:firstLine="640" w:firstLineChars="200"/>
        <w:jc w:val="righ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合同编号：</w:t>
      </w:r>
    </w:p>
    <w:p w14:paraId="511076F6">
      <w:pPr>
        <w:keepNext w:val="0"/>
        <w:pageBreakBefore w:val="0"/>
        <w:widowControl w:val="0"/>
        <w:kinsoku/>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rPr>
        <w:t>甲方（委托方）</w:t>
      </w:r>
      <w:r>
        <w:rPr>
          <w:rFonts w:hint="eastAsia" w:ascii="仿宋_GB2312" w:hAnsi="仿宋_GB2312" w:eastAsia="仿宋_GB2312" w:cs="仿宋_GB2312"/>
          <w:sz w:val="32"/>
          <w:szCs w:val="32"/>
          <w:shd w:val="clear" w:color="auto" w:fill="FFFFFF"/>
        </w:rPr>
        <w:t xml:space="preserve">：深圳市龙华建设发展集团有限公司 </w:t>
      </w:r>
    </w:p>
    <w:p w14:paraId="184A0730">
      <w:pPr>
        <w:keepNext w:val="0"/>
        <w:pageBreakBefore w:val="0"/>
        <w:widowControl w:val="0"/>
        <w:kinsoku/>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统一社会信用代码：9144030032637087X6</w:t>
      </w:r>
    </w:p>
    <w:p w14:paraId="4C2DE97D">
      <w:pPr>
        <w:keepNext w:val="0"/>
        <w:pageBreakBefore w:val="0"/>
        <w:widowControl w:val="0"/>
        <w:kinsoku/>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法定代表人：方东明</w:t>
      </w:r>
    </w:p>
    <w:p w14:paraId="5D908FDF">
      <w:pPr>
        <w:keepNext w:val="0"/>
        <w:pageBreakBefore w:val="0"/>
        <w:widowControl w:val="0"/>
        <w:kinsoku/>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地址：深圳市龙华区观湖街道鹭湖社区观盛三路10号龙馨家园A栋2201 </w:t>
      </w:r>
    </w:p>
    <w:p w14:paraId="58DF8132">
      <w:pPr>
        <w:keepNext w:val="0"/>
        <w:pageBreakBefore w:val="0"/>
        <w:widowControl w:val="0"/>
        <w:kinsoku/>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p>
    <w:p w14:paraId="5CCB1C5F">
      <w:pPr>
        <w:keepNext w:val="0"/>
        <w:pageBreakBefore w:val="0"/>
        <w:widowControl w:val="0"/>
        <w:kinsoku/>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bCs/>
          <w:sz w:val="32"/>
          <w:szCs w:val="32"/>
          <w:highlight w:val="none"/>
          <w:u w:val="single"/>
          <w:shd w:val="clear" w:color="auto" w:fill="FFFFFF"/>
        </w:rPr>
      </w:pPr>
      <w:r>
        <w:rPr>
          <w:rFonts w:hint="eastAsia" w:ascii="仿宋_GB2312" w:hAnsi="仿宋_GB2312" w:eastAsia="仿宋_GB2312" w:cs="仿宋_GB2312"/>
          <w:sz w:val="32"/>
          <w:szCs w:val="32"/>
          <w:highlight w:val="none"/>
        </w:rPr>
        <w:t>乙方（服务方）</w:t>
      </w:r>
      <w:r>
        <w:rPr>
          <w:rFonts w:hint="eastAsia" w:ascii="仿宋_GB2312" w:hAnsi="仿宋_GB2312" w:eastAsia="仿宋_GB2312" w:cs="仿宋_GB2312"/>
          <w:sz w:val="32"/>
          <w:szCs w:val="32"/>
          <w:highlight w:val="none"/>
          <w:shd w:val="clear" w:color="auto" w:fill="FFFFFF"/>
        </w:rPr>
        <w:t>：</w:t>
      </w:r>
      <w:r>
        <w:rPr>
          <w:rFonts w:hint="eastAsia" w:ascii="仿宋_GB2312" w:hAnsi="仿宋_GB2312" w:eastAsia="仿宋_GB2312" w:cs="仿宋_GB2312"/>
          <w:sz w:val="32"/>
          <w:szCs w:val="32"/>
          <w:highlight w:val="none"/>
          <w:shd w:val="clear" w:color="auto" w:fill="FFFFFF"/>
          <w:lang w:val="en-US" w:eastAsia="zh-CN"/>
        </w:rPr>
        <w:t xml:space="preserve"> </w:t>
      </w:r>
    </w:p>
    <w:p w14:paraId="3C1AB099">
      <w:pPr>
        <w:keepNext w:val="0"/>
        <w:pageBreakBefore w:val="0"/>
        <w:widowControl w:val="0"/>
        <w:kinsoku/>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统一社会信用代码：</w:t>
      </w:r>
      <w:r>
        <w:rPr>
          <w:rFonts w:hint="eastAsia" w:ascii="仿宋_GB2312" w:hAnsi="仿宋_GB2312" w:eastAsia="仿宋_GB2312" w:cs="仿宋_GB2312"/>
          <w:sz w:val="32"/>
          <w:szCs w:val="32"/>
          <w:highlight w:val="none"/>
          <w:lang w:val="en-US" w:eastAsia="zh-CN"/>
        </w:rPr>
        <w:t xml:space="preserve"> </w:t>
      </w:r>
    </w:p>
    <w:p w14:paraId="1C576F64">
      <w:pPr>
        <w:keepNext w:val="0"/>
        <w:pageBreakBefore w:val="0"/>
        <w:widowControl w:val="0"/>
        <w:kinsoku/>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highlight w:val="none"/>
          <w:shd w:val="clear" w:color="auto" w:fill="FFFFFF"/>
        </w:rPr>
      </w:pPr>
      <w:r>
        <w:rPr>
          <w:rFonts w:hint="eastAsia" w:ascii="仿宋_GB2312" w:hAnsi="仿宋_GB2312" w:eastAsia="仿宋_GB2312" w:cs="仿宋_GB2312"/>
          <w:sz w:val="32"/>
          <w:szCs w:val="32"/>
          <w:highlight w:val="none"/>
        </w:rPr>
        <w:t>法定</w:t>
      </w:r>
      <w:r>
        <w:rPr>
          <w:rFonts w:hint="eastAsia" w:ascii="仿宋_GB2312" w:hAnsi="仿宋_GB2312" w:eastAsia="仿宋_GB2312" w:cs="仿宋_GB2312"/>
          <w:sz w:val="32"/>
          <w:szCs w:val="32"/>
          <w:highlight w:val="none"/>
          <w:shd w:val="clear" w:color="auto" w:fill="FFFFFF"/>
        </w:rPr>
        <w:t>代表人：</w:t>
      </w:r>
      <w:r>
        <w:rPr>
          <w:rFonts w:hint="eastAsia" w:ascii="仿宋_GB2312" w:hAnsi="仿宋_GB2312" w:eastAsia="仿宋_GB2312" w:cs="仿宋_GB2312"/>
          <w:sz w:val="32"/>
          <w:szCs w:val="32"/>
          <w:highlight w:val="none"/>
          <w:shd w:val="clear" w:color="auto" w:fill="FFFFFF"/>
          <w:lang w:val="en-US" w:eastAsia="zh-CN"/>
        </w:rPr>
        <w:t xml:space="preserve"> </w:t>
      </w:r>
    </w:p>
    <w:p w14:paraId="7235B4C8">
      <w:pPr>
        <w:keepNext w:val="0"/>
        <w:pageBreakBefore w:val="0"/>
        <w:widowControl w:val="0"/>
        <w:kinsoku/>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sz w:val="32"/>
          <w:szCs w:val="32"/>
          <w:highlight w:val="yellow"/>
          <w:shd w:val="clear" w:color="auto" w:fill="FFFFFF"/>
        </w:rPr>
      </w:pPr>
      <w:r>
        <w:rPr>
          <w:rFonts w:hint="eastAsia" w:ascii="仿宋_GB2312" w:hAnsi="仿宋_GB2312" w:eastAsia="仿宋_GB2312" w:cs="仿宋_GB2312"/>
          <w:sz w:val="32"/>
          <w:szCs w:val="32"/>
          <w:highlight w:val="none"/>
        </w:rPr>
        <w:t>地址</w:t>
      </w:r>
      <w:r>
        <w:rPr>
          <w:rFonts w:hint="eastAsia" w:ascii="仿宋_GB2312" w:hAnsi="仿宋_GB2312" w:eastAsia="仿宋_GB2312" w:cs="仿宋_GB2312"/>
          <w:sz w:val="32"/>
          <w:szCs w:val="32"/>
          <w:highlight w:val="none"/>
          <w:shd w:val="clear" w:color="auto" w:fill="FFFFFF"/>
        </w:rPr>
        <w:t>：</w:t>
      </w:r>
      <w:r>
        <w:rPr>
          <w:rFonts w:hint="eastAsia" w:ascii="仿宋_GB2312" w:hAnsi="仿宋_GB2312" w:eastAsia="仿宋_GB2312" w:cs="仿宋_GB2312"/>
          <w:sz w:val="32"/>
          <w:szCs w:val="32"/>
          <w:highlight w:val="none"/>
          <w:shd w:val="clear" w:color="auto" w:fill="FFFFFF"/>
          <w:lang w:val="en-US" w:eastAsia="zh-CN"/>
        </w:rPr>
        <w:t xml:space="preserve"> </w:t>
      </w:r>
    </w:p>
    <w:p w14:paraId="626B3B8C">
      <w:pPr>
        <w:keepNext w:val="0"/>
        <w:pageBreakBefore w:val="0"/>
        <w:widowControl w:val="0"/>
        <w:kinsoku/>
        <w:overflowPunct/>
        <w:topLinePunct w:val="0"/>
        <w:autoSpaceDE/>
        <w:autoSpaceDN/>
        <w:bidi w:val="0"/>
        <w:adjustRightInd w:val="0"/>
        <w:snapToGrid w:val="0"/>
        <w:spacing w:line="560" w:lineRule="exact"/>
        <w:ind w:firstLine="480" w:firstLineChars="200"/>
        <w:textAlignment w:val="auto"/>
      </w:pPr>
    </w:p>
    <w:p w14:paraId="47F5C54F">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根据《中华人民共和国民法典》及有关法律、法规规定，甲乙双方在平等互利的原则下，经友好协商，</w:t>
      </w:r>
      <w:r>
        <w:rPr>
          <w:rFonts w:hint="eastAsia" w:ascii="仿宋_GB2312" w:hAnsi="仿宋_GB2312" w:eastAsia="仿宋_GB2312" w:cs="仿宋_GB2312"/>
          <w:color w:val="000000"/>
          <w:sz w:val="32"/>
          <w:szCs w:val="32"/>
        </w:rPr>
        <w:t>就甲方委托乙方</w:t>
      </w:r>
      <w:r>
        <w:rPr>
          <w:rFonts w:hint="eastAsia" w:ascii="仿宋_GB2312" w:hAnsi="仿宋_GB2312" w:eastAsia="仿宋_GB2312" w:cs="仿宋_GB2312"/>
          <w:color w:val="000000"/>
          <w:sz w:val="32"/>
          <w:szCs w:val="32"/>
          <w:lang w:val="en-US" w:eastAsia="zh-CN"/>
        </w:rPr>
        <w:t>承接</w:t>
      </w:r>
      <w:r>
        <w:rPr>
          <w:rFonts w:hint="eastAsia" w:ascii="仿宋_GB2312" w:hAnsi="仿宋_GB2312" w:eastAsia="仿宋_GB2312" w:cs="仿宋_GB2312"/>
          <w:sz w:val="32"/>
          <w:szCs w:val="32"/>
          <w:lang w:val="en-US" w:eastAsia="zh-CN"/>
        </w:rPr>
        <w:t>青悦汇项目消防设施设备维修服务</w:t>
      </w:r>
      <w:r>
        <w:rPr>
          <w:rFonts w:hint="eastAsia" w:ascii="仿宋_GB2312" w:hAnsi="仿宋_GB2312" w:eastAsia="仿宋_GB2312" w:cs="仿宋_GB2312"/>
          <w:color w:val="000000"/>
          <w:sz w:val="32"/>
          <w:szCs w:val="32"/>
        </w:rPr>
        <w:t>并支付</w:t>
      </w:r>
      <w:r>
        <w:rPr>
          <w:rFonts w:hint="eastAsia" w:ascii="仿宋_GB2312" w:hAnsi="仿宋_GB2312" w:eastAsia="仿宋_GB2312" w:cs="仿宋_GB2312"/>
          <w:color w:val="000000"/>
          <w:sz w:val="32"/>
          <w:szCs w:val="32"/>
          <w:lang w:val="en-US" w:eastAsia="zh-CN"/>
        </w:rPr>
        <w:t>维修</w:t>
      </w:r>
      <w:r>
        <w:rPr>
          <w:rFonts w:hint="eastAsia" w:ascii="仿宋_GB2312" w:hAnsi="仿宋_GB2312" w:eastAsia="仿宋_GB2312" w:cs="仿宋_GB2312"/>
          <w:color w:val="000000"/>
          <w:sz w:val="32"/>
          <w:szCs w:val="32"/>
        </w:rPr>
        <w:t>服务费用事宜，</w:t>
      </w:r>
      <w:r>
        <w:rPr>
          <w:rFonts w:hint="eastAsia" w:ascii="仿宋_GB2312" w:hAnsi="仿宋_GB2312" w:eastAsia="仿宋_GB2312" w:cs="仿宋_GB2312"/>
          <w:kern w:val="2"/>
          <w:sz w:val="32"/>
          <w:szCs w:val="32"/>
        </w:rPr>
        <w:t>订立本合同，以资共同遵守</w:t>
      </w:r>
      <w:r>
        <w:rPr>
          <w:rFonts w:hint="eastAsia" w:ascii="仿宋_GB2312" w:hAnsi="仿宋_GB2312" w:eastAsia="仿宋_GB2312" w:cs="仿宋_GB2312"/>
          <w:color w:val="000000"/>
          <w:sz w:val="32"/>
          <w:szCs w:val="32"/>
        </w:rPr>
        <w:t>。</w:t>
      </w:r>
    </w:p>
    <w:p w14:paraId="15463FD9">
      <w:pPr>
        <w:pStyle w:val="6"/>
        <w:widowControl w:val="0"/>
        <w:spacing w:before="0" w:line="560" w:lineRule="exact"/>
        <w:ind w:firstLine="640" w:firstLineChars="200"/>
        <w:jc w:val="both"/>
        <w:rPr>
          <w:rFonts w:hint="eastAsia" w:ascii="黑体" w:hAnsi="黑体" w:eastAsia="黑体" w:cs="黑体"/>
          <w:b w:val="0"/>
          <w:bCs/>
          <w:sz w:val="32"/>
          <w:szCs w:val="32"/>
        </w:rPr>
      </w:pPr>
      <w:r>
        <w:rPr>
          <w:rFonts w:hint="eastAsia" w:ascii="黑体" w:hAnsi="黑体" w:eastAsia="黑体" w:cs="黑体"/>
          <w:b w:val="0"/>
          <w:bCs/>
          <w:spacing w:val="0"/>
          <w:sz w:val="32"/>
          <w:szCs w:val="32"/>
        </w:rPr>
        <w:t>一、基本情况</w:t>
      </w:r>
    </w:p>
    <w:p w14:paraId="6C3F075B">
      <w:pPr>
        <w:widowControl w:val="0"/>
        <w:adjustRightInd w:val="0"/>
        <w:snapToGrid w:val="0"/>
        <w:spacing w:line="560" w:lineRule="exact"/>
        <w:ind w:firstLine="48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青悦汇项目位于深圳市龙华区龙华街道东环一路与三联路交汇处，总建筑面积22288.92平方米，消防系统覆盖1-4层公区、商铺、天面及消控室等关键区域，包含火灾报警、应急照明、通风防火、消防供水等核心设备设施。</w:t>
      </w:r>
      <w:r>
        <w:rPr>
          <w:rFonts w:hint="default" w:ascii="仿宋_GB2312" w:hAnsi="仿宋_GB2312" w:eastAsia="仿宋_GB2312" w:cs="仿宋_GB2312"/>
          <w:sz w:val="24"/>
          <w:szCs w:val="24"/>
          <w:lang w:val="en-US" w:eastAsia="zh-CN"/>
        </w:rPr>
        <w:br w:type="textWrapping"/>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本合同</w:t>
      </w:r>
      <w:r>
        <w:rPr>
          <w:rFonts w:hint="eastAsia" w:ascii="仿宋_GB2312" w:hAnsi="仿宋_GB2312" w:eastAsia="仿宋_GB2312" w:cs="仿宋_GB2312"/>
          <w:color w:val="000000"/>
          <w:sz w:val="32"/>
          <w:szCs w:val="32"/>
          <w:lang w:val="en-US" w:eastAsia="zh-CN"/>
        </w:rPr>
        <w:t>服务</w:t>
      </w:r>
      <w:r>
        <w:rPr>
          <w:rFonts w:hint="eastAsia" w:ascii="仿宋_GB2312" w:hAnsi="仿宋_GB2312" w:eastAsia="仿宋_GB2312" w:cs="仿宋_GB2312"/>
          <w:color w:val="000000"/>
          <w:sz w:val="32"/>
          <w:szCs w:val="32"/>
        </w:rPr>
        <w:t>内容为：</w:t>
      </w:r>
    </w:p>
    <w:p w14:paraId="2081941C">
      <w:pPr>
        <w:pStyle w:val="2"/>
        <w:numPr>
          <w:ilvl w:val="255"/>
          <w:numId w:val="0"/>
        </w:numPr>
        <w:spacing w:after="0" w:line="560" w:lineRule="atLeast"/>
        <w:ind w:firstLine="640" w:firstLineChars="200"/>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lang w:val="en-US" w:eastAsia="zh-CN"/>
        </w:rPr>
        <w:t>1.锈蚀处理：天面140平方米风管的除锈、打磨、涂漆施工。</w:t>
      </w:r>
      <w:r>
        <w:rPr>
          <w:rFonts w:hint="default"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2.设备更换：烟感、温感、手报、声光、排烟阀执行机构等35处故障设备的拆除与更换，挡烟垂壁电机控制器1台、控制按钮10个的更换。</w:t>
      </w:r>
      <w:r>
        <w:rPr>
          <w:rFonts w:hint="default"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3.系统维修：挡烟垂壁卡死故障修复、应急照明系统（控制器、集中电源箱、备用电池等）故障排查修复、消防供水设备（补水阀、泵控制柜）检修校准。</w:t>
      </w:r>
      <w:r>
        <w:rPr>
          <w:rFonts w:hint="default"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4.辅助服务：报警主机31个故障点位处理及全系统调试编程，消防电话线路敷设（含挖槽、布线、打孔）及地砖、细沙等辅助材料铺设与施工。</w:t>
      </w:r>
      <w:r>
        <w:rPr>
          <w:rFonts w:hint="default" w:ascii="Times New Roman" w:hAnsi="Times New Roman" w:eastAsia="仿宋_GB2312"/>
          <w:sz w:val="32"/>
          <w:szCs w:val="32"/>
          <w:lang w:val="en-US" w:eastAsia="zh-CN"/>
        </w:rPr>
        <w:t>。</w:t>
      </w:r>
    </w:p>
    <w:p w14:paraId="0E727FD3">
      <w:pPr>
        <w:pStyle w:val="6"/>
        <w:keepNext w:val="0"/>
        <w:pageBreakBefore w:val="0"/>
        <w:widowControl w:val="0"/>
        <w:kinsoku/>
        <w:overflowPunct/>
        <w:topLinePunct w:val="0"/>
        <w:autoSpaceDE/>
        <w:autoSpaceDN/>
        <w:bidi w:val="0"/>
        <w:spacing w:before="0" w:after="0" w:line="560" w:lineRule="atLeast"/>
        <w:ind w:firstLine="640" w:firstLineChars="200"/>
        <w:jc w:val="both"/>
        <w:textAlignment w:val="auto"/>
        <w:rPr>
          <w:rFonts w:ascii="仿宋_GB2312" w:hAnsi="仿宋_GB2312" w:eastAsia="仿宋_GB2312" w:cs="仿宋_GB2312"/>
          <w:sz w:val="32"/>
          <w:szCs w:val="32"/>
        </w:rPr>
      </w:pPr>
      <w:r>
        <w:rPr>
          <w:rFonts w:hint="eastAsia" w:ascii="黑体" w:hAnsi="黑体" w:eastAsia="黑体" w:cs="黑体"/>
          <w:b w:val="0"/>
          <w:bCs/>
          <w:sz w:val="32"/>
          <w:szCs w:val="32"/>
        </w:rPr>
        <w:t>第二条 服务费用与付款方式</w:t>
      </w:r>
    </w:p>
    <w:p w14:paraId="1EE175D2">
      <w:pPr>
        <w:numPr>
          <w:ilvl w:val="0"/>
          <w:numId w:val="0"/>
        </w:numPr>
        <w:autoSpaceDN w:val="0"/>
        <w:spacing w:line="560" w:lineRule="atLeast"/>
        <w:ind w:leftChars="0" w:firstLine="640" w:firstLineChars="200"/>
        <w:jc w:val="left"/>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1.本合同采用固定单价，合同暂定总价款(含税）为¥</w:t>
      </w:r>
      <w:r>
        <w:rPr>
          <w:rFonts w:hint="eastAsia" w:ascii="仿宋_GB2312" w:hAnsi="仿宋_GB2312" w:eastAsia="仿宋_GB2312" w:cs="仿宋_GB2312"/>
          <w:color w:val="000000"/>
          <w:sz w:val="32"/>
          <w:szCs w:val="32"/>
          <w:u w:val="none"/>
          <w:lang w:val="en-US" w:eastAsia="zh-CN"/>
        </w:rPr>
        <w:t xml:space="preserve">   </w:t>
      </w:r>
      <w:r>
        <w:rPr>
          <w:rFonts w:hint="eastAsia" w:ascii="仿宋_GB2312" w:hAnsi="仿宋_GB2312" w:eastAsia="仿宋_GB2312" w:cs="仿宋_GB2312"/>
          <w:color w:val="000000"/>
          <w:sz w:val="32"/>
          <w:szCs w:val="32"/>
          <w:lang w:val="en-US" w:eastAsia="zh-CN"/>
        </w:rPr>
        <w:t xml:space="preserve"> (大写人民币</w:t>
      </w:r>
      <w:r>
        <w:rPr>
          <w:rFonts w:hint="eastAsia" w:ascii="仿宋_GB2312" w:hAnsi="仿宋_GB2312" w:eastAsia="仿宋_GB2312" w:cs="仿宋_GB2312"/>
          <w:color w:val="000000"/>
          <w:sz w:val="32"/>
          <w:szCs w:val="32"/>
          <w:u w:val="none"/>
          <w:lang w:val="en-US" w:eastAsia="zh-CN"/>
        </w:rPr>
        <w:t>：</w:t>
      </w:r>
      <w:r>
        <w:rPr>
          <w:rFonts w:hint="eastAsia" w:ascii="仿宋_GB2312" w:hAnsi="仿宋_GB2312" w:eastAsia="仿宋_GB2312" w:cs="仿宋_GB2312"/>
          <w:color w:val="000000"/>
          <w:sz w:val="32"/>
          <w:szCs w:val="32"/>
          <w:lang w:val="en-US" w:eastAsia="zh-CN"/>
        </w:rPr>
        <w:t>)，合同总价包括了乙方为实施和完成本项目合同约定的全部工作所需的全部费用，包括但不限于乙方人员工资、社会福利、各种津贴及加班费、技术服务费、现场费用、设备的使用和管理、交通设备的使用和管理、住宿费用、各种管理费、规费、保险、利润和税金等内容，并涵盖所有可能导致乙方工作量或工作时长增加的风险以及乙方履行本合同可能需要承担的所有责任和义务。除本合同另有约定外，合同总价不作任何调整。详细报价构成详见“附件 1:投标报价清单”。</w:t>
      </w:r>
    </w:p>
    <w:p w14:paraId="21A75797">
      <w:pPr>
        <w:pStyle w:val="14"/>
        <w:widowControl w:val="0"/>
        <w:numPr>
          <w:ilvl w:val="-1"/>
          <w:numId w:val="0"/>
        </w:numPr>
        <w:spacing w:before="0" w:beforeAutospacing="0" w:after="0" w:afterAutospacing="0" w:line="560" w:lineRule="atLeast"/>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付款方式：</w:t>
      </w:r>
      <w:bookmarkStart w:id="0" w:name="_Hlk173397880"/>
    </w:p>
    <w:p w14:paraId="03371721">
      <w:pPr>
        <w:pStyle w:val="14"/>
        <w:widowControl w:val="0"/>
        <w:spacing w:before="0" w:beforeAutospacing="0" w:after="0" w:afterAutospacing="0" w:line="560" w:lineRule="atLeast"/>
        <w:ind w:firstLine="640" w:firstLineChars="200"/>
        <w:jc w:val="both"/>
        <w:rPr>
          <w:rFonts w:hint="eastAsia" w:ascii="仿宋_GB2312" w:hAnsi="仿宋_GB2312" w:eastAsia="仿宋_GB2312" w:cs="仿宋_GB2312"/>
          <w:color w:val="000000"/>
          <w:kern w:val="0"/>
          <w:sz w:val="32"/>
          <w:szCs w:val="32"/>
          <w:lang w:eastAsia="zh-CN"/>
        </w:rPr>
      </w:pPr>
      <w:r>
        <w:rPr>
          <w:rFonts w:hint="eastAsia" w:ascii="Times New Roman" w:hAnsi="Times New Roman" w:eastAsia="仿宋_GB2312" w:cs="Times New Roman"/>
          <w:kern w:val="2"/>
          <w:sz w:val="32"/>
          <w:szCs w:val="32"/>
          <w:lang w:val="en-US" w:eastAsia="zh-CN" w:bidi="ar-SA"/>
        </w:rPr>
        <w:t>消防设施设备维修完毕，</w:t>
      </w:r>
      <w:r>
        <w:rPr>
          <w:rFonts w:hint="eastAsia" w:ascii="仿宋_GB2312" w:hAnsi="仿宋_GB2312" w:eastAsia="仿宋_GB2312" w:cs="仿宋_GB2312"/>
          <w:color w:val="000000"/>
          <w:sz w:val="32"/>
          <w:szCs w:val="32"/>
          <w:lang w:val="en-US" w:eastAsia="zh-CN"/>
        </w:rPr>
        <w:t>经甲方验收合格后15个工作日内支付合同价款的100%</w:t>
      </w:r>
      <w:r>
        <w:rPr>
          <w:rFonts w:hint="eastAsia" w:ascii="仿宋_GB2312" w:hAnsi="仿宋_GB2312" w:eastAsia="仿宋_GB2312" w:cs="仿宋_GB2312"/>
          <w:color w:val="000000"/>
          <w:kern w:val="0"/>
          <w:sz w:val="32"/>
          <w:szCs w:val="32"/>
          <w:lang w:eastAsia="zh-CN"/>
        </w:rPr>
        <w:t>。</w:t>
      </w:r>
    </w:p>
    <w:bookmarkEnd w:id="0"/>
    <w:p w14:paraId="7289DF8C">
      <w:pPr>
        <w:pStyle w:val="14"/>
        <w:keepNext w:val="0"/>
        <w:pageBreakBefore w:val="0"/>
        <w:widowControl w:val="0"/>
        <w:kinsoku/>
        <w:overflowPunct/>
        <w:topLinePunct w:val="0"/>
        <w:autoSpaceDE/>
        <w:autoSpaceDN/>
        <w:bidi w:val="0"/>
        <w:adjustRightInd w:val="0"/>
        <w:spacing w:before="0" w:beforeAutospacing="0" w:after="0" w:afterAutospacing="0" w:line="560" w:lineRule="atLeast"/>
        <w:ind w:firstLine="640" w:firstLineChars="200"/>
        <w:jc w:val="both"/>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.乙方指定收款账号：</w:t>
      </w:r>
    </w:p>
    <w:p w14:paraId="125FA700">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户名：</w:t>
      </w:r>
      <w:r>
        <w:rPr>
          <w:rFonts w:hint="eastAsia" w:ascii="仿宋_GB2312" w:hAnsi="仿宋_GB2312" w:eastAsia="仿宋_GB2312" w:cs="仿宋_GB2312"/>
          <w:color w:val="000000"/>
          <w:sz w:val="32"/>
          <w:szCs w:val="32"/>
          <w:highlight w:val="none"/>
          <w:u w:val="single"/>
        </w:rPr>
        <w:t xml:space="preserve">  </w:t>
      </w:r>
    </w:p>
    <w:p w14:paraId="7D256118">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账号：</w:t>
      </w:r>
      <w:r>
        <w:rPr>
          <w:rFonts w:hint="eastAsia" w:ascii="仿宋_GB2312" w:hAnsi="仿宋_GB2312" w:eastAsia="仿宋_GB2312" w:cs="仿宋_GB2312"/>
          <w:color w:val="000000"/>
          <w:sz w:val="32"/>
          <w:szCs w:val="32"/>
          <w:highlight w:val="none"/>
          <w:u w:val="single"/>
        </w:rPr>
        <w:t xml:space="preserve">     </w:t>
      </w:r>
    </w:p>
    <w:p w14:paraId="343D9667">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开户行：</w:t>
      </w:r>
      <w:r>
        <w:rPr>
          <w:rFonts w:hint="eastAsia" w:ascii="仿宋_GB2312" w:hAnsi="仿宋_GB2312" w:eastAsia="仿宋_GB2312" w:cs="仿宋_GB2312"/>
          <w:color w:val="000000"/>
          <w:sz w:val="32"/>
          <w:szCs w:val="32"/>
          <w:highlight w:val="none"/>
          <w:u w:val="single"/>
        </w:rPr>
        <w:t xml:space="preserve">  </w:t>
      </w:r>
    </w:p>
    <w:p w14:paraId="4424F613">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.发票</w:t>
      </w:r>
    </w:p>
    <w:p w14:paraId="09EAAE9F">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本合同中约定的价款或交易金额为含税金额，乙方应向甲方提供正规足额增值税专用发票。发票信息如下：</w:t>
      </w:r>
    </w:p>
    <w:p w14:paraId="4E3862D3">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hint="eastAsia" w:ascii="仿宋_GB2312" w:hAnsi="仿宋_GB2312" w:eastAsia="仿宋_GB2312" w:cs="仿宋_GB2312"/>
          <w:color w:val="000000"/>
          <w:sz w:val="32"/>
          <w:szCs w:val="32"/>
          <w:highlight w:val="none"/>
          <w:u w:val="single"/>
        </w:rPr>
      </w:pPr>
      <w:r>
        <w:rPr>
          <w:rFonts w:hint="eastAsia" w:ascii="仿宋_GB2312" w:hAnsi="仿宋_GB2312" w:eastAsia="仿宋_GB2312" w:cs="仿宋_GB2312"/>
          <w:color w:val="000000"/>
          <w:sz w:val="32"/>
          <w:szCs w:val="32"/>
          <w:highlight w:val="none"/>
        </w:rPr>
        <w:t>名称：</w:t>
      </w:r>
      <w:r>
        <w:rPr>
          <w:rFonts w:hint="eastAsia" w:ascii="仿宋_GB2312" w:hAnsi="仿宋_GB2312" w:eastAsia="仿宋_GB2312" w:cs="仿宋_GB2312"/>
          <w:color w:val="000000"/>
          <w:sz w:val="32"/>
          <w:szCs w:val="32"/>
          <w:highlight w:val="none"/>
          <w:u w:val="single"/>
        </w:rPr>
        <w:t xml:space="preserve"> </w:t>
      </w:r>
    </w:p>
    <w:p w14:paraId="276E211C">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hint="eastAsia" w:ascii="仿宋_GB2312" w:hAnsi="仿宋_GB2312" w:eastAsia="仿宋_GB2312" w:cs="仿宋_GB2312"/>
          <w:color w:val="000000"/>
          <w:sz w:val="32"/>
          <w:szCs w:val="32"/>
          <w:highlight w:val="none"/>
          <w:u w:val="single"/>
        </w:rPr>
      </w:pPr>
      <w:r>
        <w:rPr>
          <w:rFonts w:hint="eastAsia" w:ascii="仿宋_GB2312" w:hAnsi="仿宋_GB2312" w:eastAsia="仿宋_GB2312" w:cs="仿宋_GB2312"/>
          <w:color w:val="000000"/>
          <w:sz w:val="32"/>
          <w:szCs w:val="32"/>
          <w:highlight w:val="none"/>
        </w:rPr>
        <w:t>纳税人识别号：</w:t>
      </w:r>
    </w:p>
    <w:p w14:paraId="67614F10">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hint="eastAsia" w:ascii="仿宋_GB2312" w:hAnsi="仿宋_GB2312" w:eastAsia="仿宋_GB2312" w:cs="仿宋_GB2312"/>
          <w:color w:val="000000"/>
          <w:sz w:val="32"/>
          <w:szCs w:val="32"/>
          <w:highlight w:val="none"/>
          <w:u w:val="single"/>
        </w:rPr>
      </w:pPr>
      <w:r>
        <w:rPr>
          <w:rFonts w:hint="eastAsia" w:ascii="仿宋_GB2312" w:hAnsi="仿宋_GB2312" w:eastAsia="仿宋_GB2312" w:cs="仿宋_GB2312"/>
          <w:color w:val="000000"/>
          <w:sz w:val="32"/>
          <w:szCs w:val="32"/>
          <w:highlight w:val="none"/>
        </w:rPr>
        <w:t>地址、电话：</w:t>
      </w:r>
    </w:p>
    <w:p w14:paraId="01CA9345">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开户行及账号：</w:t>
      </w:r>
    </w:p>
    <w:p w14:paraId="5D659613">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货物或应税劳务名称：</w:t>
      </w:r>
      <w:r>
        <w:rPr>
          <w:rFonts w:hint="eastAsia" w:ascii="仿宋_GB2312" w:hAnsi="仿宋_GB2312" w:eastAsia="仿宋_GB2312" w:cs="仿宋_GB2312"/>
          <w:color w:val="000000"/>
          <w:sz w:val="32"/>
          <w:szCs w:val="32"/>
          <w:highlight w:val="none"/>
          <w:u w:val="single"/>
        </w:rPr>
        <w:t xml:space="preserve">  </w:t>
      </w:r>
    </w:p>
    <w:p w14:paraId="52781F04">
      <w:pPr>
        <w:pStyle w:val="14"/>
        <w:keepNext w:val="0"/>
        <w:pageBreakBefore w:val="0"/>
        <w:widowControl w:val="0"/>
        <w:kinsoku/>
        <w:overflowPunct/>
        <w:topLinePunct w:val="0"/>
        <w:autoSpaceDE/>
        <w:autoSpaceDN/>
        <w:bidi w:val="0"/>
        <w:spacing w:before="0" w:beforeAutospacing="0" w:after="0" w:afterAutospacing="0" w:line="560" w:lineRule="atLeas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增值税率：</w:t>
      </w:r>
      <w:r>
        <w:rPr>
          <w:rFonts w:hint="eastAsia" w:ascii="仿宋_GB2312" w:hAnsi="仿宋_GB2312" w:eastAsia="仿宋_GB2312" w:cs="仿宋_GB2312"/>
          <w:color w:val="000000"/>
          <w:sz w:val="32"/>
          <w:szCs w:val="32"/>
          <w:highlight w:val="none"/>
          <w:u w:val="single"/>
        </w:rPr>
        <w:t xml:space="preserve">              </w:t>
      </w:r>
    </w:p>
    <w:p w14:paraId="0F3D7522">
      <w:pPr>
        <w:pStyle w:val="6"/>
        <w:keepNext w:val="0"/>
        <w:pageBreakBefore w:val="0"/>
        <w:widowControl w:val="0"/>
        <w:kinsoku/>
        <w:overflowPunct/>
        <w:topLinePunct w:val="0"/>
        <w:autoSpaceDE/>
        <w:autoSpaceDN/>
        <w:bidi w:val="0"/>
        <w:spacing w:before="0" w:after="0" w:line="560" w:lineRule="exact"/>
        <w:ind w:firstLine="0" w:firstLineChars="0"/>
        <w:jc w:val="both"/>
        <w:textAlignment w:val="auto"/>
        <w:rPr>
          <w:rFonts w:ascii="黑体" w:hAnsi="黑体" w:eastAsia="黑体" w:cs="黑体"/>
          <w:b w:val="0"/>
          <w:bCs/>
          <w:sz w:val="32"/>
          <w:szCs w:val="32"/>
        </w:rPr>
      </w:pPr>
      <w:r>
        <w:rPr>
          <w:rFonts w:hint="eastAsia" w:ascii="黑体" w:hAnsi="黑体" w:eastAsia="黑体" w:cs="黑体"/>
          <w:b w:val="0"/>
          <w:bCs/>
          <w:sz w:val="32"/>
          <w:szCs w:val="32"/>
          <w:lang w:eastAsia="zh"/>
        </w:rPr>
        <w:t xml:space="preserve">    </w:t>
      </w:r>
      <w:r>
        <w:rPr>
          <w:rFonts w:hint="eastAsia" w:ascii="黑体" w:hAnsi="黑体" w:eastAsia="黑体" w:cs="黑体"/>
          <w:b w:val="0"/>
          <w:bCs/>
          <w:sz w:val="32"/>
          <w:szCs w:val="32"/>
        </w:rPr>
        <w:t>第</w:t>
      </w: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条 甲方的权利和义务</w:t>
      </w:r>
    </w:p>
    <w:p w14:paraId="41BFF58F">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i w:val="0"/>
          <w:iCs w:val="0"/>
          <w:caps w:val="0"/>
          <w:color w:val="000000"/>
          <w:spacing w:val="0"/>
          <w:sz w:val="32"/>
          <w:szCs w:val="32"/>
          <w:shd w:val="clear"/>
        </w:rPr>
        <w:t>甲方有权要求乙方按照合同约定提供高质量的维修保养服务</w:t>
      </w:r>
      <w:r>
        <w:rPr>
          <w:rFonts w:hint="eastAsia" w:ascii="仿宋_GB2312" w:hAnsi="仿宋_GB2312" w:eastAsia="仿宋_GB2312" w:cs="仿宋_GB2312"/>
          <w:color w:val="000000"/>
          <w:sz w:val="32"/>
          <w:szCs w:val="32"/>
        </w:rPr>
        <w:t>。</w:t>
      </w:r>
    </w:p>
    <w:p w14:paraId="6B3A1823">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i w:val="0"/>
          <w:iCs w:val="0"/>
          <w:caps w:val="0"/>
          <w:color w:val="000000"/>
          <w:spacing w:val="0"/>
          <w:sz w:val="32"/>
          <w:szCs w:val="32"/>
          <w:shd w:val="clear"/>
        </w:rPr>
        <w:t>甲方有权监督乙方的服务质量，并对乙方服务不达标的情况提出异议和改进要求</w:t>
      </w:r>
      <w:r>
        <w:rPr>
          <w:rFonts w:hint="eastAsia" w:ascii="仿宋_GB2312" w:hAnsi="仿宋_GB2312" w:eastAsia="仿宋_GB2312" w:cs="仿宋_GB2312"/>
          <w:color w:val="000000"/>
          <w:sz w:val="32"/>
          <w:szCs w:val="32"/>
        </w:rPr>
        <w:t>。</w:t>
      </w:r>
    </w:p>
    <w:p w14:paraId="5EC40EA0">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3.甲方应按合同约定向乙方支付</w:t>
      </w:r>
      <w:r>
        <w:rPr>
          <w:rFonts w:hint="eastAsia" w:ascii="仿宋_GB2312" w:hAnsi="仿宋_GB2312" w:eastAsia="仿宋_GB2312" w:cs="仿宋_GB2312"/>
          <w:color w:val="000000"/>
          <w:sz w:val="32"/>
          <w:szCs w:val="32"/>
          <w:lang w:val="en-US" w:eastAsia="zh-CN"/>
        </w:rPr>
        <w:t>维修服务</w:t>
      </w:r>
      <w:r>
        <w:rPr>
          <w:rFonts w:hint="eastAsia" w:ascii="仿宋_GB2312" w:hAnsi="仿宋_GB2312" w:eastAsia="仿宋_GB2312" w:cs="仿宋_GB2312"/>
          <w:color w:val="000000"/>
          <w:sz w:val="32"/>
          <w:szCs w:val="32"/>
        </w:rPr>
        <w:t>费用。</w:t>
      </w:r>
    </w:p>
    <w:p w14:paraId="387B5649">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i w:val="0"/>
          <w:iCs w:val="0"/>
          <w:caps w:val="0"/>
          <w:color w:val="000000"/>
          <w:spacing w:val="0"/>
          <w:sz w:val="32"/>
          <w:szCs w:val="32"/>
          <w:shd w:val="clear"/>
        </w:rPr>
        <w:t>甲方应为乙方提供安全、稳定的工作环境和必要的作业条件</w:t>
      </w:r>
      <w:r>
        <w:rPr>
          <w:rFonts w:hint="eastAsia" w:ascii="仿宋_GB2312" w:hAnsi="仿宋_GB2312" w:eastAsia="仿宋_GB2312" w:cs="仿宋_GB2312"/>
          <w:color w:val="000000"/>
          <w:sz w:val="32"/>
          <w:szCs w:val="32"/>
        </w:rPr>
        <w:t>。</w:t>
      </w:r>
    </w:p>
    <w:p w14:paraId="3E9CD24A">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r>
        <w:rPr>
          <w:rFonts w:hint="eastAsia" w:ascii="仿宋_GB2312" w:hAnsi="仿宋_GB2312" w:eastAsia="仿宋_GB2312" w:cs="仿宋_GB2312"/>
          <w:i w:val="0"/>
          <w:iCs w:val="0"/>
          <w:caps w:val="0"/>
          <w:color w:val="000000"/>
          <w:spacing w:val="0"/>
          <w:sz w:val="32"/>
          <w:szCs w:val="32"/>
          <w:shd w:val="clear"/>
        </w:rPr>
        <w:t>甲方应保证</w:t>
      </w:r>
      <w:r>
        <w:rPr>
          <w:rFonts w:hint="eastAsia" w:ascii="仿宋_GB2312" w:hAnsi="仿宋_GB2312" w:eastAsia="仿宋_GB2312" w:cs="仿宋_GB2312"/>
          <w:i w:val="0"/>
          <w:iCs w:val="0"/>
          <w:caps w:val="0"/>
          <w:color w:val="000000"/>
          <w:spacing w:val="0"/>
          <w:sz w:val="32"/>
          <w:szCs w:val="32"/>
          <w:shd w:val="clear"/>
          <w:lang w:val="en-US" w:eastAsia="zh-CN"/>
        </w:rPr>
        <w:t>设备设施</w:t>
      </w:r>
      <w:r>
        <w:rPr>
          <w:rFonts w:hint="eastAsia" w:ascii="仿宋_GB2312" w:hAnsi="仿宋_GB2312" w:eastAsia="仿宋_GB2312" w:cs="仿宋_GB2312"/>
          <w:i w:val="0"/>
          <w:iCs w:val="0"/>
          <w:caps w:val="0"/>
          <w:color w:val="000000"/>
          <w:spacing w:val="0"/>
          <w:sz w:val="32"/>
          <w:szCs w:val="32"/>
          <w:shd w:val="clear"/>
        </w:rPr>
        <w:t>在维修保养期间的安全，告知相关人员暂停使用，并配合乙方进行安全防护</w:t>
      </w:r>
      <w:r>
        <w:rPr>
          <w:rFonts w:hint="eastAsia" w:ascii="仿宋_GB2312" w:hAnsi="仿宋_GB2312" w:eastAsia="仿宋_GB2312" w:cs="仿宋_GB2312"/>
          <w:color w:val="000000"/>
          <w:sz w:val="32"/>
          <w:szCs w:val="32"/>
        </w:rPr>
        <w:t>。</w:t>
      </w:r>
    </w:p>
    <w:p w14:paraId="001949E0">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.甲方有权对</w:t>
      </w:r>
      <w:r>
        <w:rPr>
          <w:rFonts w:hint="eastAsia" w:ascii="仿宋_GB2312" w:hAnsi="仿宋_GB2312" w:eastAsia="仿宋_GB2312" w:cs="仿宋_GB2312"/>
          <w:color w:val="000000"/>
          <w:sz w:val="32"/>
          <w:szCs w:val="32"/>
          <w:lang w:val="en-US" w:eastAsia="zh-CN"/>
        </w:rPr>
        <w:t>维修服务</w:t>
      </w:r>
      <w:r>
        <w:rPr>
          <w:rFonts w:hint="eastAsia" w:ascii="仿宋_GB2312" w:hAnsi="仿宋_GB2312" w:eastAsia="仿宋_GB2312" w:cs="仿宋_GB2312"/>
          <w:color w:val="000000"/>
          <w:sz w:val="32"/>
          <w:szCs w:val="32"/>
        </w:rPr>
        <w:t>提出具体意见和整改要求，乙方应予配合执行。</w:t>
      </w:r>
    </w:p>
    <w:p w14:paraId="56AF2D10">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
        </w:rPr>
        <w:t>7.</w:t>
      </w:r>
      <w:r>
        <w:rPr>
          <w:rFonts w:hint="eastAsia" w:ascii="仿宋_GB2312" w:hAnsi="仿宋_GB2312" w:eastAsia="仿宋_GB2312" w:cs="仿宋_GB2312"/>
          <w:color w:val="000000"/>
          <w:sz w:val="32"/>
          <w:szCs w:val="32"/>
        </w:rPr>
        <w:t>甲方有权依据合同及双方约定对乙方</w:t>
      </w:r>
      <w:r>
        <w:rPr>
          <w:rFonts w:hint="eastAsia" w:ascii="仿宋_GB2312" w:hAnsi="仿宋_GB2312" w:eastAsia="仿宋_GB2312" w:cs="仿宋_GB2312"/>
          <w:color w:val="000000"/>
          <w:sz w:val="32"/>
          <w:szCs w:val="32"/>
          <w:lang w:val="en-US" w:eastAsia="zh-CN"/>
        </w:rPr>
        <w:t>维修</w:t>
      </w:r>
      <w:r>
        <w:rPr>
          <w:rFonts w:hint="eastAsia" w:ascii="仿宋_GB2312" w:hAnsi="仿宋_GB2312" w:eastAsia="仿宋_GB2312" w:cs="仿宋_GB2312"/>
          <w:color w:val="000000"/>
          <w:sz w:val="32"/>
          <w:szCs w:val="32"/>
        </w:rPr>
        <w:t>服务进行验收。</w:t>
      </w:r>
    </w:p>
    <w:p w14:paraId="723CF896">
      <w:pPr>
        <w:pStyle w:val="6"/>
        <w:keepNext w:val="0"/>
        <w:pageBreakBefore w:val="0"/>
        <w:widowControl w:val="0"/>
        <w:kinsoku/>
        <w:overflowPunct/>
        <w:topLinePunct w:val="0"/>
        <w:autoSpaceDE/>
        <w:autoSpaceDN/>
        <w:bidi w:val="0"/>
        <w:spacing w:before="0" w:after="0" w:line="560" w:lineRule="exact"/>
        <w:ind w:firstLine="640" w:firstLineChars="200"/>
        <w:jc w:val="both"/>
        <w:textAlignment w:val="auto"/>
        <w:rPr>
          <w:rFonts w:ascii="黑体" w:hAnsi="黑体" w:eastAsia="黑体" w:cs="黑体"/>
          <w:b w:val="0"/>
          <w:bCs/>
          <w:sz w:val="32"/>
          <w:szCs w:val="32"/>
        </w:rPr>
      </w:pPr>
      <w:r>
        <w:rPr>
          <w:rFonts w:hint="eastAsia" w:ascii="黑体" w:hAnsi="黑体" w:eastAsia="黑体" w:cs="黑体"/>
          <w:b w:val="0"/>
          <w:bCs/>
          <w:sz w:val="32"/>
          <w:szCs w:val="32"/>
        </w:rPr>
        <w:t>第</w:t>
      </w: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条 乙方的权利和义务</w:t>
      </w:r>
    </w:p>
    <w:p w14:paraId="3CA77ED9">
      <w:pPr>
        <w:keepNext w:val="0"/>
        <w:pageBreakBefore w:val="0"/>
        <w:widowControl w:val="0"/>
        <w:tabs>
          <w:tab w:val="left" w:pos="540"/>
        </w:tabs>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1.乙方有义务按时、按质、按量完成本合同中规定的各项服务内容，</w:t>
      </w:r>
      <w:r>
        <w:rPr>
          <w:rFonts w:hint="eastAsia" w:ascii="仿宋_GB2312" w:hAnsi="仿宋_GB2312" w:eastAsia="仿宋_GB2312" w:cs="仿宋_GB2312"/>
          <w:i w:val="0"/>
          <w:iCs w:val="0"/>
          <w:caps w:val="0"/>
          <w:color w:val="000000"/>
          <w:spacing w:val="0"/>
          <w:sz w:val="32"/>
          <w:szCs w:val="32"/>
          <w:shd w:val="clear"/>
        </w:rPr>
        <w:t>乙方应确保维修保养所使用的备品备件符合国家标准和原厂要求</w:t>
      </w:r>
      <w:r>
        <w:rPr>
          <w:rFonts w:hint="eastAsia" w:ascii="仿宋_GB2312" w:hAnsi="仿宋_GB2312" w:eastAsia="仿宋_GB2312" w:cs="仿宋_GB2312"/>
          <w:color w:val="000000"/>
          <w:sz w:val="32"/>
          <w:szCs w:val="32"/>
        </w:rPr>
        <w:t>，否则乙方需承担相应的法律责任，因此造成甲方给第三方赔付或受损的，乙方需全额赔偿。</w:t>
      </w:r>
    </w:p>
    <w:p w14:paraId="54FE4009">
      <w:pPr>
        <w:keepNext w:val="0"/>
        <w:pageBreakBefore w:val="0"/>
        <w:widowControl w:val="0"/>
        <w:tabs>
          <w:tab w:val="left" w:pos="540"/>
        </w:tabs>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2.乙方有义务对乙方提供服务的人员进行全面监管,乙方需确保并组织全体工作人员按合同约定完成各项服务。</w:t>
      </w:r>
    </w:p>
    <w:p w14:paraId="359669A3">
      <w:pPr>
        <w:keepNext w:val="0"/>
        <w:keepLines w:val="0"/>
        <w:pageBreakBefore w:val="0"/>
        <w:widowControl w:val="0"/>
        <w:tabs>
          <w:tab w:val="left" w:pos="540"/>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3.合同履行过程中，如有出现影响活动进行的任何情况，乙方有义务及时向甲方汇报，并依双方商定解决有关问题。乙方在履行合同过程中应当自觉维护甲方形象。</w:t>
      </w:r>
    </w:p>
    <w:p w14:paraId="4903C6E0">
      <w:pPr>
        <w:keepNext w:val="0"/>
        <w:keepLines w:val="0"/>
        <w:pageBreakBefore w:val="0"/>
        <w:widowControl w:val="0"/>
        <w:tabs>
          <w:tab w:val="left" w:pos="540"/>
        </w:tabs>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i w:val="0"/>
          <w:iCs w:val="0"/>
          <w:caps w:val="0"/>
          <w:color w:val="000000"/>
          <w:spacing w:val="0"/>
          <w:sz w:val="32"/>
          <w:szCs w:val="32"/>
          <w:shd w:val="clear"/>
        </w:rPr>
        <w:t>乙方应严格遵守国家有关法律法规、安全技术规范及</w:t>
      </w:r>
      <w:r>
        <w:rPr>
          <w:rFonts w:hint="eastAsia" w:ascii="仿宋_GB2312" w:hAnsi="仿宋_GB2312" w:eastAsia="仿宋_GB2312" w:cs="仿宋_GB2312"/>
          <w:i w:val="0"/>
          <w:iCs w:val="0"/>
          <w:caps w:val="0"/>
          <w:color w:val="000000"/>
          <w:spacing w:val="0"/>
          <w:sz w:val="32"/>
          <w:szCs w:val="32"/>
          <w:shd w:val="clear"/>
          <w:lang w:val="en-US" w:eastAsia="zh-CN"/>
        </w:rPr>
        <w:t>设备设施</w:t>
      </w:r>
      <w:r>
        <w:rPr>
          <w:rFonts w:hint="eastAsia" w:ascii="仿宋_GB2312" w:hAnsi="仿宋_GB2312" w:eastAsia="仿宋_GB2312" w:cs="仿宋_GB2312"/>
          <w:i w:val="0"/>
          <w:iCs w:val="0"/>
          <w:caps w:val="0"/>
          <w:color w:val="000000"/>
          <w:spacing w:val="0"/>
          <w:sz w:val="32"/>
          <w:szCs w:val="32"/>
          <w:shd w:val="clear"/>
        </w:rPr>
        <w:t>制造厂家的维护保养要求，确保</w:t>
      </w:r>
      <w:r>
        <w:rPr>
          <w:rFonts w:hint="eastAsia" w:ascii="仿宋_GB2312" w:hAnsi="仿宋_GB2312" w:eastAsia="仿宋_GB2312" w:cs="仿宋_GB2312"/>
          <w:i w:val="0"/>
          <w:iCs w:val="0"/>
          <w:caps w:val="0"/>
          <w:color w:val="000000"/>
          <w:spacing w:val="0"/>
          <w:sz w:val="32"/>
          <w:szCs w:val="32"/>
          <w:shd w:val="clear"/>
          <w:lang w:val="en-US" w:eastAsia="zh-CN"/>
        </w:rPr>
        <w:t>设备设施</w:t>
      </w:r>
      <w:r>
        <w:rPr>
          <w:rFonts w:hint="eastAsia" w:ascii="仿宋_GB2312" w:hAnsi="仿宋_GB2312" w:eastAsia="仿宋_GB2312" w:cs="仿宋_GB2312"/>
          <w:i w:val="0"/>
          <w:iCs w:val="0"/>
          <w:caps w:val="0"/>
          <w:color w:val="000000"/>
          <w:spacing w:val="0"/>
          <w:sz w:val="32"/>
          <w:szCs w:val="32"/>
          <w:shd w:val="clear"/>
        </w:rPr>
        <w:t>运行安全</w:t>
      </w:r>
      <w:r>
        <w:rPr>
          <w:rFonts w:hint="eastAsia" w:ascii="仿宋_GB2312" w:hAnsi="仿宋_GB2312" w:eastAsia="仿宋_GB2312" w:cs="仿宋_GB2312"/>
          <w:color w:val="000000"/>
          <w:sz w:val="32"/>
          <w:szCs w:val="32"/>
          <w:lang w:eastAsia="zh"/>
        </w:rPr>
        <w:t>。</w:t>
      </w:r>
      <w:r>
        <w:rPr>
          <w:rFonts w:hint="eastAsia" w:ascii="仿宋_GB2312" w:hAnsi="仿宋_GB2312" w:eastAsia="仿宋_GB2312" w:cs="仿宋_GB2312"/>
          <w:color w:val="000000"/>
          <w:sz w:val="32"/>
          <w:szCs w:val="32"/>
        </w:rPr>
        <w:t xml:space="preserve"> </w:t>
      </w:r>
    </w:p>
    <w:p w14:paraId="3E48D39C">
      <w:pPr>
        <w:keepNext w:val="0"/>
        <w:pageBreakBefore w:val="0"/>
        <w:widowControl w:val="0"/>
        <w:tabs>
          <w:tab w:val="left" w:pos="540"/>
        </w:tabs>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r>
        <w:rPr>
          <w:rFonts w:hint="eastAsia" w:ascii="仿宋_GB2312" w:hAnsi="仿宋_GB2312" w:eastAsia="仿宋_GB2312" w:cs="仿宋_GB2312"/>
          <w:i w:val="0"/>
          <w:iCs w:val="0"/>
          <w:caps w:val="0"/>
          <w:color w:val="000000"/>
          <w:spacing w:val="0"/>
          <w:sz w:val="32"/>
          <w:szCs w:val="32"/>
          <w:shd w:val="clear"/>
        </w:rPr>
        <w:t>乙方在进行作业时，应做好安全防护措施，确保作业人员和甲方的财产人身安全</w:t>
      </w:r>
      <w:r>
        <w:rPr>
          <w:rFonts w:hint="eastAsia" w:ascii="仿宋_GB2312" w:hAnsi="仿宋_GB2312" w:eastAsia="仿宋_GB2312" w:cs="仿宋_GB2312"/>
          <w:color w:val="000000"/>
          <w:sz w:val="32"/>
          <w:szCs w:val="32"/>
        </w:rPr>
        <w:t>。</w:t>
      </w:r>
    </w:p>
    <w:p w14:paraId="2A6438A2">
      <w:pPr>
        <w:pStyle w:val="6"/>
        <w:keepNext w:val="0"/>
        <w:pageBreakBefore w:val="0"/>
        <w:widowControl w:val="0"/>
        <w:kinsoku/>
        <w:overflowPunct/>
        <w:topLinePunct w:val="0"/>
        <w:autoSpaceDE/>
        <w:autoSpaceDN/>
        <w:bidi w:val="0"/>
        <w:spacing w:before="0" w:after="0" w:line="560" w:lineRule="exact"/>
        <w:ind w:firstLine="640" w:firstLineChars="200"/>
        <w:jc w:val="both"/>
        <w:textAlignment w:val="auto"/>
        <w:rPr>
          <w:rFonts w:ascii="黑体" w:hAnsi="黑体" w:eastAsia="黑体" w:cs="黑体"/>
          <w:b w:val="0"/>
          <w:bCs/>
          <w:sz w:val="32"/>
          <w:szCs w:val="32"/>
        </w:rPr>
      </w:pPr>
      <w:r>
        <w:rPr>
          <w:rFonts w:hint="eastAsia" w:ascii="黑体" w:hAnsi="黑体" w:eastAsia="黑体" w:cs="黑体"/>
          <w:b w:val="0"/>
          <w:bCs/>
          <w:sz w:val="32"/>
          <w:szCs w:val="32"/>
        </w:rPr>
        <w:t>第</w:t>
      </w:r>
      <w:r>
        <w:rPr>
          <w:rFonts w:hint="eastAsia" w:ascii="黑体" w:hAnsi="黑体" w:eastAsia="黑体" w:cs="黑体"/>
          <w:b w:val="0"/>
          <w:bCs/>
          <w:sz w:val="32"/>
          <w:szCs w:val="32"/>
          <w:lang w:val="en-US" w:eastAsia="zh-CN"/>
        </w:rPr>
        <w:t>五</w:t>
      </w:r>
      <w:r>
        <w:rPr>
          <w:rFonts w:hint="eastAsia" w:ascii="黑体" w:hAnsi="黑体" w:eastAsia="黑体" w:cs="黑体"/>
          <w:b w:val="0"/>
          <w:bCs/>
          <w:sz w:val="32"/>
          <w:szCs w:val="32"/>
        </w:rPr>
        <w:t>条 项目负责人</w:t>
      </w:r>
    </w:p>
    <w:p w14:paraId="045EE665">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1.双方确定如下项目负责人：</w:t>
      </w:r>
    </w:p>
    <w:p w14:paraId="5F124898">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1.1甲方</w:t>
      </w:r>
    </w:p>
    <w:p w14:paraId="74B7A177">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负责人姓名：</w:t>
      </w:r>
      <w:r>
        <w:rPr>
          <w:rFonts w:hint="eastAsia" w:ascii="仿宋_GB2312" w:hAnsi="仿宋_GB2312" w:eastAsia="仿宋_GB2312" w:cs="仿宋_GB2312"/>
          <w:color w:val="000000"/>
          <w:sz w:val="32"/>
          <w:szCs w:val="32"/>
          <w:u w:val="single"/>
        </w:rPr>
        <w:t xml:space="preserve">               </w:t>
      </w:r>
    </w:p>
    <w:p w14:paraId="08930286">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身份证号：</w:t>
      </w:r>
      <w:r>
        <w:rPr>
          <w:rFonts w:hint="eastAsia" w:ascii="仿宋_GB2312" w:hAnsi="仿宋_GB2312" w:eastAsia="仿宋_GB2312" w:cs="仿宋_GB2312"/>
          <w:color w:val="000000"/>
          <w:sz w:val="32"/>
          <w:szCs w:val="32"/>
          <w:u w:val="single"/>
        </w:rPr>
        <w:t xml:space="preserve">                 </w:t>
      </w:r>
    </w:p>
    <w:p w14:paraId="6D82FC24">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联系方式：</w:t>
      </w:r>
      <w:r>
        <w:rPr>
          <w:rFonts w:hint="eastAsia" w:ascii="仿宋_GB2312" w:hAnsi="仿宋_GB2312" w:eastAsia="仿宋_GB2312" w:cs="仿宋_GB2312"/>
          <w:color w:val="000000"/>
          <w:sz w:val="32"/>
          <w:szCs w:val="32"/>
          <w:u w:val="single"/>
        </w:rPr>
        <w:t xml:space="preserve">                 </w:t>
      </w:r>
    </w:p>
    <w:p w14:paraId="7755EE64">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1.2乙方</w:t>
      </w:r>
    </w:p>
    <w:p w14:paraId="5109E597">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负责人姓名：</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single"/>
          <w:lang w:eastAsia="zh-CN"/>
        </w:rPr>
        <w:t xml:space="preserve">      </w:t>
      </w:r>
    </w:p>
    <w:p w14:paraId="4A45E1C2">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身份证号：</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single"/>
        </w:rPr>
        <w:t xml:space="preserve"> </w:t>
      </w:r>
    </w:p>
    <w:p w14:paraId="55131AA2">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联系方式：</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single"/>
        </w:rPr>
        <w:t xml:space="preserve"> </w:t>
      </w:r>
    </w:p>
    <w:p w14:paraId="679E7A20">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2.项目负责人的权限为：代表所属方接收/交付资料、对接、协调工作。</w:t>
      </w:r>
    </w:p>
    <w:p w14:paraId="5B93771D">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3.任何一方变更项目负责人应以书面形式至少提前3个工作日告知对方。      </w:t>
      </w:r>
    </w:p>
    <w:p w14:paraId="69E93664">
      <w:pPr>
        <w:pStyle w:val="6"/>
        <w:keepNext w:val="0"/>
        <w:pageBreakBefore w:val="0"/>
        <w:widowControl w:val="0"/>
        <w:kinsoku/>
        <w:overflowPunct/>
        <w:topLinePunct w:val="0"/>
        <w:autoSpaceDE/>
        <w:autoSpaceDN/>
        <w:bidi w:val="0"/>
        <w:spacing w:before="0" w:after="0" w:line="560" w:lineRule="exact"/>
        <w:ind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第</w:t>
      </w:r>
      <w:r>
        <w:rPr>
          <w:rFonts w:hint="eastAsia" w:ascii="黑体" w:hAnsi="黑体" w:eastAsia="黑体" w:cs="黑体"/>
          <w:b w:val="0"/>
          <w:bCs/>
          <w:sz w:val="32"/>
          <w:szCs w:val="32"/>
          <w:lang w:val="en-US" w:eastAsia="zh-CN"/>
        </w:rPr>
        <w:t>六</w:t>
      </w:r>
      <w:r>
        <w:rPr>
          <w:rFonts w:hint="eastAsia" w:ascii="黑体" w:hAnsi="黑体" w:eastAsia="黑体" w:cs="黑体"/>
          <w:b w:val="0"/>
          <w:bCs/>
          <w:sz w:val="32"/>
          <w:szCs w:val="32"/>
        </w:rPr>
        <w:t>条 违约责任</w:t>
      </w:r>
    </w:p>
    <w:p w14:paraId="63616C4A">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除本合同另有约定外，甲、乙任何一方无权单方面终止合同和变更合同内容；如任何一方在履行合同的过程中需要变更合同内容，应当提前通知另一方并取得对方同意后方可按照变更的内容履行，合同中的相关内容自动失效。单方面终止协议或变更内容的一方将全额赔偿对另一方所有的经济损失。</w:t>
      </w:r>
    </w:p>
    <w:p w14:paraId="48A1CCF9">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2.乙方有下列情形之一的，视为违约，甲方有权要求解除合同、退还甲方支付的服务费用、赔偿经济损失，并要求乙方按照合同价款的</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0%向甲方支付违约金：</w:t>
      </w:r>
    </w:p>
    <w:p w14:paraId="19504722">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2.1乙方违反约定转包承办任务的；</w:t>
      </w:r>
    </w:p>
    <w:p w14:paraId="50747DC9">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由于乙方的原因，造成人身损害事故的；</w:t>
      </w:r>
    </w:p>
    <w:p w14:paraId="2E79EBC6">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乙方违规向甲方人员行贿的；</w:t>
      </w:r>
    </w:p>
    <w:p w14:paraId="377F2879">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其他因乙方原因导致本合同解除的情形。</w:t>
      </w:r>
    </w:p>
    <w:p w14:paraId="354D25B0">
      <w:pPr>
        <w:pStyle w:val="6"/>
        <w:keepNext w:val="0"/>
        <w:pageBreakBefore w:val="0"/>
        <w:widowControl w:val="0"/>
        <w:kinsoku/>
        <w:overflowPunct/>
        <w:topLinePunct w:val="0"/>
        <w:autoSpaceDE/>
        <w:autoSpaceDN/>
        <w:bidi w:val="0"/>
        <w:spacing w:before="0" w:after="0" w:line="560" w:lineRule="exact"/>
        <w:ind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第</w:t>
      </w:r>
      <w:r>
        <w:rPr>
          <w:rFonts w:hint="eastAsia" w:ascii="黑体" w:hAnsi="黑体" w:eastAsia="黑体" w:cs="黑体"/>
          <w:b w:val="0"/>
          <w:bCs/>
          <w:sz w:val="32"/>
          <w:szCs w:val="32"/>
          <w:lang w:val="en-US" w:eastAsia="zh-CN"/>
        </w:rPr>
        <w:t>七</w:t>
      </w:r>
      <w:r>
        <w:rPr>
          <w:rFonts w:hint="eastAsia" w:ascii="黑体" w:hAnsi="黑体" w:eastAsia="黑体" w:cs="黑体"/>
          <w:b w:val="0"/>
          <w:bCs/>
          <w:sz w:val="32"/>
          <w:szCs w:val="32"/>
        </w:rPr>
        <w:t>条 反商业贿赂</w:t>
      </w:r>
    </w:p>
    <w:p w14:paraId="2F11E88C">
      <w:pPr>
        <w:keepNext w:val="0"/>
        <w:pageBreakBefore w:val="0"/>
        <w:widowControl w:val="0"/>
        <w:kinsoku/>
        <w:overflowPunct/>
        <w:topLinePunct w:val="0"/>
        <w:autoSpaceDE/>
        <w:autoSpaceDN/>
        <w:bidi w:val="0"/>
        <w:spacing w:line="560" w:lineRule="exact"/>
        <w:ind w:firstLine="640" w:firstLineChars="200"/>
        <w:jc w:val="both"/>
        <w:textAlignment w:val="auto"/>
      </w:pPr>
      <w:r>
        <w:rPr>
          <w:rFonts w:hint="eastAsia" w:ascii="仿宋_GB2312" w:hAnsi="仿宋_GB2312" w:eastAsia="仿宋_GB2312" w:cs="仿宋_GB2312"/>
          <w:kern w:val="2"/>
          <w:sz w:val="32"/>
          <w:szCs w:val="32"/>
        </w:rPr>
        <w:t>合同双方均不得向对方或对方经办人、工作人员或其他相关人员索要、收受、提供、给予合同约定外的任何利益，包括但不限于明扣、暗扣、现金、购物卡、实物、有价证券、旅游或其他非物质性利益等，否则构成重大违约。守约方有权停止合作、解除合同，并要求违约方承担本合同总金额30%的违约金，如前述违约金仍不足以弥补对方的损失（包括但不限于实际损失、商业信誉的下降、商业机会的丧失、成本增加、预期可得利益损失、其他间接损失等），需另行向守约方全额补偿前述损失。</w:t>
      </w:r>
    </w:p>
    <w:p w14:paraId="1BD5B5A5">
      <w:pPr>
        <w:pStyle w:val="6"/>
        <w:keepNext w:val="0"/>
        <w:pageBreakBefore w:val="0"/>
        <w:widowControl w:val="0"/>
        <w:kinsoku/>
        <w:overflowPunct/>
        <w:topLinePunct w:val="0"/>
        <w:autoSpaceDE/>
        <w:autoSpaceDN/>
        <w:bidi w:val="0"/>
        <w:spacing w:before="0" w:after="0" w:line="560" w:lineRule="exact"/>
        <w:ind w:firstLine="640" w:firstLineChars="200"/>
        <w:jc w:val="both"/>
        <w:textAlignment w:val="auto"/>
        <w:rPr>
          <w:rFonts w:ascii="仿宋_GB2312" w:hAnsi="仿宋_GB2312" w:eastAsia="仿宋_GB2312" w:cs="仿宋_GB2312"/>
          <w:sz w:val="32"/>
          <w:szCs w:val="32"/>
        </w:rPr>
      </w:pPr>
      <w:r>
        <w:rPr>
          <w:rFonts w:hint="eastAsia" w:ascii="黑体" w:hAnsi="黑体" w:eastAsia="黑体" w:cs="黑体"/>
          <w:b w:val="0"/>
          <w:color w:val="auto"/>
          <w:sz w:val="32"/>
          <w:szCs w:val="32"/>
        </w:rPr>
        <w:t>第</w:t>
      </w:r>
      <w:r>
        <w:rPr>
          <w:rFonts w:hint="eastAsia" w:ascii="黑体" w:hAnsi="黑体" w:eastAsia="黑体" w:cs="黑体"/>
          <w:b w:val="0"/>
          <w:color w:val="auto"/>
          <w:sz w:val="32"/>
          <w:szCs w:val="32"/>
          <w:lang w:val="en-US" w:eastAsia="zh-CN"/>
        </w:rPr>
        <w:t>八</w:t>
      </w:r>
      <w:r>
        <w:rPr>
          <w:rFonts w:hint="eastAsia" w:ascii="黑体" w:hAnsi="黑体" w:eastAsia="黑体" w:cs="黑体"/>
          <w:b w:val="0"/>
          <w:color w:val="auto"/>
          <w:sz w:val="32"/>
          <w:szCs w:val="32"/>
        </w:rPr>
        <w:t>条 争议解决</w:t>
      </w:r>
    </w:p>
    <w:p w14:paraId="1A0DFD9C">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因本合同以及本合同项下订单/附件/补充协议等（如有）引起或有关的任何争议，双方应本着互信的原则协商解决，协商不成双方均有权向甲方所在地有管辖权的人民法院提起诉讼。</w:t>
      </w:r>
    </w:p>
    <w:p w14:paraId="461D4BBD">
      <w:pPr>
        <w:pStyle w:val="6"/>
        <w:keepNext w:val="0"/>
        <w:pageBreakBefore w:val="0"/>
        <w:widowControl w:val="0"/>
        <w:kinsoku/>
        <w:overflowPunct/>
        <w:topLinePunct w:val="0"/>
        <w:autoSpaceDE/>
        <w:autoSpaceDN/>
        <w:bidi w:val="0"/>
        <w:spacing w:before="0" w:after="0" w:line="560" w:lineRule="exact"/>
        <w:ind w:firstLine="640" w:firstLineChars="200"/>
        <w:jc w:val="both"/>
        <w:textAlignment w:val="auto"/>
        <w:rPr>
          <w:rFonts w:ascii="黑体" w:hAnsi="黑体" w:eastAsia="黑体" w:cs="黑体"/>
          <w:b w:val="0"/>
          <w:color w:val="auto"/>
          <w:sz w:val="32"/>
          <w:szCs w:val="32"/>
        </w:rPr>
      </w:pPr>
      <w:r>
        <w:rPr>
          <w:rFonts w:hint="eastAsia" w:ascii="黑体" w:hAnsi="黑体" w:eastAsia="黑体" w:cs="黑体"/>
          <w:b w:val="0"/>
          <w:color w:val="auto"/>
          <w:sz w:val="32"/>
          <w:szCs w:val="32"/>
        </w:rPr>
        <w:t>第</w:t>
      </w:r>
      <w:r>
        <w:rPr>
          <w:rFonts w:hint="eastAsia" w:ascii="黑体" w:hAnsi="黑体" w:eastAsia="黑体" w:cs="黑体"/>
          <w:b w:val="0"/>
          <w:color w:val="auto"/>
          <w:sz w:val="32"/>
          <w:szCs w:val="32"/>
          <w:lang w:val="en-US" w:eastAsia="zh-CN"/>
        </w:rPr>
        <w:t>九</w:t>
      </w:r>
      <w:r>
        <w:rPr>
          <w:rFonts w:hint="eastAsia" w:ascii="黑体" w:hAnsi="黑体" w:eastAsia="黑体" w:cs="黑体"/>
          <w:b w:val="0"/>
          <w:color w:val="auto"/>
          <w:sz w:val="32"/>
          <w:szCs w:val="32"/>
        </w:rPr>
        <w:t>条 附则</w:t>
      </w:r>
    </w:p>
    <w:p w14:paraId="4E670262">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1.本合同壹式</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份，甲方执</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份，乙方执</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份，具有同等法律效力。</w:t>
      </w:r>
    </w:p>
    <w:p w14:paraId="2B043B68">
      <w:pPr>
        <w:keepNext w:val="0"/>
        <w:pageBreakBefore w:val="0"/>
        <w:widowControl w:val="0"/>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2.本合同未尽事宜双方可协商另行签订补充协议，补充协议与本合同具有同等法律效力。</w:t>
      </w:r>
    </w:p>
    <w:p w14:paraId="38CCAA1B">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3.本合同包含如下附件：</w:t>
      </w:r>
      <w:r>
        <w:rPr>
          <w:rFonts w:hint="eastAsia" w:ascii="仿宋_GB2312" w:hAnsi="仿宋_GB2312" w:eastAsia="仿宋_GB2312" w:cs="仿宋_GB2312"/>
          <w:color w:val="000000"/>
          <w:sz w:val="32"/>
          <w:szCs w:val="32"/>
          <w:u w:val="single"/>
          <w:lang w:val="en-US" w:eastAsia="zh-CN"/>
        </w:rPr>
        <w:t>报价清单</w:t>
      </w:r>
      <w:r>
        <w:rPr>
          <w:rFonts w:hint="eastAsia" w:ascii="仿宋_GB2312" w:hAnsi="仿宋_GB2312" w:eastAsia="仿宋_GB2312" w:cs="仿宋_GB2312"/>
          <w:color w:val="000000"/>
          <w:sz w:val="32"/>
          <w:szCs w:val="32"/>
          <w:u w:val="single"/>
        </w:rPr>
        <w:t>。</w:t>
      </w:r>
    </w:p>
    <w:p w14:paraId="1EA6C1D5">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上述附件是本合同的一部分，具有与本合同同等的法律效力。</w:t>
      </w:r>
    </w:p>
    <w:p w14:paraId="28D18837">
      <w:pPr>
        <w:pStyle w:val="14"/>
        <w:keepNext w:val="0"/>
        <w:pageBreakBefore w:val="0"/>
        <w:widowControl w:val="0"/>
        <w:kinsoku/>
        <w:overflowPunct/>
        <w:topLinePunct w:val="0"/>
        <w:autoSpaceDE/>
        <w:autoSpaceDN/>
        <w:bidi w:val="0"/>
        <w:spacing w:before="0" w:beforeAutospacing="0" w:after="0" w:afterAutospacing="0" w:line="560" w:lineRule="exact"/>
        <w:ind w:firstLine="624" w:firstLineChars="200"/>
        <w:jc w:val="both"/>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pacing w:val="-4"/>
          <w:sz w:val="32"/>
          <w:szCs w:val="32"/>
        </w:rPr>
        <w:t>4.本合同经双方法定代表人或</w:t>
      </w:r>
      <w:r>
        <w:rPr>
          <w:rFonts w:hint="eastAsia" w:ascii="仿宋_GB2312" w:hAnsi="仿宋_GB2312" w:eastAsia="仿宋_GB2312" w:cs="仿宋_GB2312"/>
          <w:color w:val="000000"/>
          <w:spacing w:val="-4"/>
          <w:sz w:val="32"/>
          <w:szCs w:val="32"/>
          <w:lang w:val="en-US" w:eastAsia="zh-CN"/>
        </w:rPr>
        <w:t>授权代表</w:t>
      </w:r>
      <w:r>
        <w:rPr>
          <w:rFonts w:hint="eastAsia" w:ascii="仿宋_GB2312" w:hAnsi="仿宋_GB2312" w:eastAsia="仿宋_GB2312" w:cs="仿宋_GB2312"/>
          <w:color w:val="000000"/>
          <w:spacing w:val="-4"/>
          <w:sz w:val="32"/>
          <w:szCs w:val="32"/>
        </w:rPr>
        <w:t>签署并加盖单位公章后生效</w:t>
      </w:r>
      <w:r>
        <w:rPr>
          <w:rFonts w:hint="eastAsia" w:ascii="仿宋_GB2312" w:hAnsi="仿宋_GB2312" w:eastAsia="仿宋_GB2312" w:cs="仿宋_GB2312"/>
          <w:color w:val="000000"/>
          <w:sz w:val="32"/>
          <w:szCs w:val="32"/>
        </w:rPr>
        <w:t>。</w:t>
      </w:r>
    </w:p>
    <w:p w14:paraId="4BC44A3D">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center"/>
        <w:textAlignment w:val="auto"/>
        <w:rPr>
          <w:rFonts w:ascii="仿宋_GB2312" w:hAnsi="仿宋_GB2312" w:eastAsia="仿宋_GB2312" w:cs="仿宋_GB2312"/>
          <w:color w:val="000000"/>
          <w:sz w:val="32"/>
          <w:szCs w:val="32"/>
        </w:rPr>
      </w:pPr>
    </w:p>
    <w:p w14:paraId="3C00F987">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center"/>
        <w:textAlignment w:val="auto"/>
        <w:rPr>
          <w:rFonts w:ascii="仿宋_GB2312" w:hAnsi="仿宋_GB2312" w:eastAsia="仿宋_GB2312" w:cs="仿宋_GB2312"/>
          <w:color w:val="000000"/>
          <w:sz w:val="32"/>
          <w:szCs w:val="32"/>
        </w:rPr>
      </w:pPr>
    </w:p>
    <w:p w14:paraId="6CE7918E">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center"/>
        <w:textAlignment w:val="auto"/>
        <w:rPr>
          <w:rFonts w:ascii="仿宋_GB2312" w:hAnsi="仿宋_GB2312" w:eastAsia="仿宋_GB2312" w:cs="仿宋_GB2312"/>
          <w:color w:val="000000"/>
          <w:sz w:val="32"/>
          <w:szCs w:val="32"/>
        </w:rPr>
      </w:pPr>
    </w:p>
    <w:p w14:paraId="5037B021">
      <w:pPr>
        <w:pStyle w:val="14"/>
        <w:keepNext w:val="0"/>
        <w:pageBreakBefore w:val="0"/>
        <w:widowControl w:val="0"/>
        <w:kinsoku/>
        <w:overflowPunct/>
        <w:topLinePunct w:val="0"/>
        <w:autoSpaceDE/>
        <w:autoSpaceDN/>
        <w:bidi w:val="0"/>
        <w:spacing w:before="0" w:beforeAutospacing="0" w:after="0" w:afterAutospacing="0" w:line="560" w:lineRule="exact"/>
        <w:ind w:firstLine="640" w:firstLineChars="200"/>
        <w:jc w:val="center"/>
        <w:textAlignment w:val="auto"/>
        <w:rPr>
          <w:rFonts w:ascii="仿宋_GB2312" w:hAnsi="仿宋_GB2312" w:eastAsia="仿宋_GB2312" w:cs="仿宋_GB2312"/>
          <w:color w:val="000000"/>
          <w:sz w:val="32"/>
          <w:szCs w:val="32"/>
        </w:rPr>
      </w:pPr>
    </w:p>
    <w:p w14:paraId="4ECC2568">
      <w:pPr>
        <w:pStyle w:val="20"/>
        <w:rPr>
          <w:rFonts w:ascii="仿宋_GB2312" w:hAnsi="仿宋_GB2312" w:eastAsia="仿宋_GB2312" w:cs="仿宋_GB2312"/>
          <w:szCs w:val="32"/>
        </w:rPr>
      </w:pPr>
    </w:p>
    <w:p w14:paraId="6EC6B8DD">
      <w:pPr>
        <w:pStyle w:val="20"/>
        <w:rPr>
          <w:rFonts w:ascii="仿宋_GB2312" w:hAnsi="仿宋_GB2312" w:eastAsia="仿宋_GB2312" w:cs="仿宋_GB2312"/>
          <w:szCs w:val="32"/>
        </w:rPr>
      </w:pPr>
    </w:p>
    <w:p w14:paraId="646C9D8D">
      <w:pPr>
        <w:pStyle w:val="5"/>
        <w:keepNext w:val="0"/>
        <w:pageBreakBefore w:val="0"/>
        <w:widowControl w:val="0"/>
        <w:kinsoku/>
        <w:overflowPunct/>
        <w:topLinePunct w:val="0"/>
        <w:autoSpaceDE/>
        <w:autoSpaceDN/>
        <w:bidi w:val="0"/>
        <w:spacing w:before="0" w:after="0" w:line="560" w:lineRule="exact"/>
        <w:ind w:firstLine="643" w:firstLineChars="200"/>
        <w:textAlignment w:val="auto"/>
        <w:rPr>
          <w:rFonts w:ascii="仿宋_GB2312" w:hAnsi="仿宋_GB2312" w:eastAsia="仿宋_GB2312" w:cs="仿宋_GB2312"/>
          <w:szCs w:val="32"/>
        </w:rPr>
      </w:pPr>
    </w:p>
    <w:tbl>
      <w:tblPr>
        <w:tblStyle w:val="16"/>
        <w:tblW w:w="9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0"/>
        <w:gridCol w:w="4585"/>
      </w:tblGrid>
      <w:tr w14:paraId="1FCD0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118F84E3">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甲方（公章）：</w:t>
            </w:r>
          </w:p>
        </w:tc>
        <w:tc>
          <w:tcPr>
            <w:tcW w:w="4585" w:type="dxa"/>
          </w:tcPr>
          <w:p w14:paraId="67D04DEB">
            <w:pPr>
              <w:keepNext w:val="0"/>
              <w:pageBreakBefore w:val="0"/>
              <w:widowControl w:val="0"/>
              <w:kinsoku/>
              <w:overflowPunct/>
              <w:topLinePunct w:val="0"/>
              <w:autoSpaceDE/>
              <w:autoSpaceDN/>
              <w:bidi w:val="0"/>
              <w:spacing w:line="560" w:lineRule="exact"/>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乙方（公章）：</w:t>
            </w:r>
          </w:p>
        </w:tc>
      </w:tr>
      <w:tr w14:paraId="72F9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4430" w:type="dxa"/>
          </w:tcPr>
          <w:p w14:paraId="4984B6A7">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法定代表人或授权代表</w:t>
            </w:r>
          </w:p>
          <w:p w14:paraId="747791E5">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（签名）：</w:t>
            </w:r>
          </w:p>
        </w:tc>
        <w:tc>
          <w:tcPr>
            <w:tcW w:w="4585" w:type="dxa"/>
          </w:tcPr>
          <w:p w14:paraId="3185AB05">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法定代表人或授权代表</w:t>
            </w:r>
          </w:p>
          <w:p w14:paraId="0D2B8372">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（签名）：</w:t>
            </w:r>
          </w:p>
        </w:tc>
      </w:tr>
      <w:tr w14:paraId="137D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61779BEF">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电话：</w:t>
            </w:r>
          </w:p>
        </w:tc>
        <w:tc>
          <w:tcPr>
            <w:tcW w:w="4585" w:type="dxa"/>
          </w:tcPr>
          <w:p w14:paraId="1BEE7153">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电话：</w:t>
            </w:r>
          </w:p>
        </w:tc>
      </w:tr>
      <w:tr w14:paraId="1F695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6F91709F">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传真：</w:t>
            </w:r>
          </w:p>
        </w:tc>
        <w:tc>
          <w:tcPr>
            <w:tcW w:w="4585" w:type="dxa"/>
          </w:tcPr>
          <w:p w14:paraId="3BA1732A">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传真：</w:t>
            </w:r>
          </w:p>
        </w:tc>
      </w:tr>
      <w:tr w14:paraId="6B7DD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595BF400">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开户银行：</w:t>
            </w:r>
          </w:p>
        </w:tc>
        <w:tc>
          <w:tcPr>
            <w:tcW w:w="4585" w:type="dxa"/>
          </w:tcPr>
          <w:p w14:paraId="7680E515">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开户银行：</w:t>
            </w:r>
          </w:p>
        </w:tc>
      </w:tr>
      <w:tr w14:paraId="2461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7C16163B">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号：</w:t>
            </w:r>
          </w:p>
        </w:tc>
        <w:tc>
          <w:tcPr>
            <w:tcW w:w="4585" w:type="dxa"/>
          </w:tcPr>
          <w:p w14:paraId="3918937B">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账</w:t>
            </w:r>
            <w:r>
              <w:rPr>
                <w:rFonts w:hint="eastAsia" w:ascii="仿宋_GB2312" w:hAnsi="仿宋_GB2312" w:eastAsia="仿宋_GB2312" w:cs="仿宋_GB2312"/>
                <w:sz w:val="32"/>
                <w:szCs w:val="32"/>
                <w:highlight w:val="none"/>
              </w:rPr>
              <w:t>号：</w:t>
            </w:r>
          </w:p>
        </w:tc>
      </w:tr>
      <w:tr w14:paraId="6D1CB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15" w:type="dxa"/>
            <w:gridSpan w:val="2"/>
          </w:tcPr>
          <w:p w14:paraId="6301AD66">
            <w:pPr>
              <w:keepNext w:val="0"/>
              <w:pageBreakBefore w:val="0"/>
              <w:widowControl w:val="0"/>
              <w:kinsoku/>
              <w:overflowPunct/>
              <w:topLinePunct w:val="0"/>
              <w:autoSpaceDE/>
              <w:autoSpaceDN/>
              <w:bidi w:val="0"/>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签订日期：    年   月   日</w:t>
            </w:r>
          </w:p>
        </w:tc>
      </w:tr>
    </w:tbl>
    <w:p w14:paraId="5E3F75EE">
      <w:pPr>
        <w:pStyle w:val="5"/>
        <w:keepNext w:val="0"/>
        <w:pageBreakBefore w:val="0"/>
        <w:widowControl w:val="0"/>
        <w:kinsoku/>
        <w:overflowPunct/>
        <w:topLinePunct w:val="0"/>
        <w:autoSpaceDE/>
        <w:autoSpaceDN/>
        <w:bidi w:val="0"/>
        <w:spacing w:before="0" w:after="0" w:line="560" w:lineRule="exact"/>
        <w:jc w:val="left"/>
        <w:textAlignment w:val="auto"/>
        <w:rPr>
          <w:rFonts w:ascii="仿宋_GB2312" w:hAnsi="仿宋_GB2312" w:eastAsia="仿宋_GB2312" w:cs="仿宋_GB2312"/>
          <w:szCs w:val="32"/>
        </w:rPr>
      </w:pPr>
      <w:bookmarkStart w:id="1" w:name="_GoBack"/>
      <w:bookmarkEnd w:id="1"/>
      <w:r>
        <w:rPr>
          <w:rFonts w:hint="eastAsia" w:ascii="仿宋_GB2312" w:hAnsi="仿宋_GB2312" w:eastAsia="仿宋_GB2312" w:cs="仿宋_GB2312"/>
          <w:szCs w:val="32"/>
        </w:rPr>
        <w:t>附件</w:t>
      </w:r>
      <w:r>
        <w:rPr>
          <w:rFonts w:hint="eastAsia" w:ascii="仿宋_GB2312" w:hAnsi="仿宋_GB2312" w:eastAsia="仿宋_GB2312" w:cs="仿宋_GB2312"/>
          <w:szCs w:val="32"/>
          <w:lang w:val="en-US" w:eastAsia="zh-CN"/>
        </w:rPr>
        <w:t>1：报价</w:t>
      </w:r>
      <w:r>
        <w:rPr>
          <w:rFonts w:hint="eastAsia" w:ascii="仿宋_GB2312" w:hAnsi="仿宋_GB2312" w:eastAsia="仿宋_GB2312" w:cs="仿宋_GB2312"/>
          <w:szCs w:val="32"/>
        </w:rPr>
        <w:t>清单</w:t>
      </w:r>
    </w:p>
    <w:p w14:paraId="0554687E">
      <w:pPr>
        <w:pStyle w:val="14"/>
        <w:keepNext w:val="0"/>
        <w:pageBreakBefore w:val="0"/>
        <w:widowControl w:val="0"/>
        <w:kinsoku/>
        <w:overflowPunct/>
        <w:topLinePunct w:val="0"/>
        <w:autoSpaceDE/>
        <w:autoSpaceDN/>
        <w:bidi w:val="0"/>
        <w:spacing w:before="0" w:beforeAutospacing="0" w:after="0" w:afterAutospacing="0" w:line="560" w:lineRule="exact"/>
        <w:ind w:firstLine="643" w:firstLineChars="200"/>
        <w:textAlignment w:val="auto"/>
        <w:rPr>
          <w:rFonts w:hint="eastAsia" w:ascii="仿宋_GB2312" w:hAnsi="仿宋_GB2312" w:eastAsia="仿宋_GB2312" w:cs="仿宋_GB2312"/>
          <w:b/>
          <w:color w:val="000000"/>
          <w:sz w:val="32"/>
          <w:szCs w:val="32"/>
        </w:rPr>
      </w:pPr>
    </w:p>
    <w:p w14:paraId="478B3EFF">
      <w:pPr>
        <w:ind w:firstLine="0" w:firstLineChars="0"/>
        <w:rPr>
          <w:rFonts w:hint="eastAsia" w:ascii="仿宋_GB2312" w:hAnsi="仿宋_GB2312" w:eastAsia="仿宋_GB2312" w:cs="仿宋_GB2312"/>
          <w:b/>
          <w:color w:val="000000"/>
          <w:sz w:val="32"/>
          <w:szCs w:val="32"/>
        </w:rPr>
      </w:pPr>
    </w:p>
    <w:sectPr>
      <w:footerReference r:id="rId3" w:type="default"/>
      <w:pgSz w:w="11895" w:h="16845"/>
      <w:pgMar w:top="2098" w:right="1474"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fang">
    <w:altName w:val="Times New Roman"/>
    <w:panose1 w:val="00000000000000000000"/>
    <w:charset w:val="00"/>
    <w:family w:val="auto"/>
    <w:pitch w:val="default"/>
    <w:sig w:usb0="00000000" w:usb1="00000000" w:usb2="00000000" w:usb3="00000000" w:csb0="00000000" w:csb1="00000000"/>
  </w:font>
  <w:font w:name="Msyh">
    <w:altName w:val="Times New Roman"/>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5E53E">
    <w:pPr>
      <w:jc w:val="center"/>
      <w:rPr>
        <w:rFonts w:eastAsia="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9ABE51">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19ABE51">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0"/>
  <w:bordersDoNotSurroundFooter w:val="0"/>
  <w:trackRevisions w:val="1"/>
  <w:documentProtection w:enforcement="0"/>
  <w:defaultTabStop w:val="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iOTMwYTM5ZjJmMzA3OTAyZWViNGU2MjA1MTQ0ZWQifQ=="/>
    <w:docVar w:name="KSO_WPS_MARK_KEY" w:val="1a5894ea-c167-4b24-9321-483df334b129"/>
  </w:docVars>
  <w:rsids>
    <w:rsidRoot w:val="0014384E"/>
    <w:rsid w:val="00034077"/>
    <w:rsid w:val="0014384E"/>
    <w:rsid w:val="003E768C"/>
    <w:rsid w:val="00451710"/>
    <w:rsid w:val="005F54FB"/>
    <w:rsid w:val="00F152CC"/>
    <w:rsid w:val="013753C6"/>
    <w:rsid w:val="04FA39DB"/>
    <w:rsid w:val="070638E3"/>
    <w:rsid w:val="0A2B07EE"/>
    <w:rsid w:val="0AF03DF2"/>
    <w:rsid w:val="0C276F5F"/>
    <w:rsid w:val="0DED2A1E"/>
    <w:rsid w:val="0F34035C"/>
    <w:rsid w:val="11943BFC"/>
    <w:rsid w:val="15B50867"/>
    <w:rsid w:val="15B66837"/>
    <w:rsid w:val="1A1D0B70"/>
    <w:rsid w:val="21493E29"/>
    <w:rsid w:val="230C403E"/>
    <w:rsid w:val="265C5F3E"/>
    <w:rsid w:val="31831EA8"/>
    <w:rsid w:val="341C4CAB"/>
    <w:rsid w:val="34BB7FA3"/>
    <w:rsid w:val="35C60CDE"/>
    <w:rsid w:val="38001715"/>
    <w:rsid w:val="38BC66E2"/>
    <w:rsid w:val="39033292"/>
    <w:rsid w:val="392A19E4"/>
    <w:rsid w:val="3A997844"/>
    <w:rsid w:val="3B4F5379"/>
    <w:rsid w:val="3CDC4BAB"/>
    <w:rsid w:val="3F36616F"/>
    <w:rsid w:val="3F954729"/>
    <w:rsid w:val="404A2665"/>
    <w:rsid w:val="407627A6"/>
    <w:rsid w:val="4778F6FE"/>
    <w:rsid w:val="4F240BED"/>
    <w:rsid w:val="502F443E"/>
    <w:rsid w:val="50AC601E"/>
    <w:rsid w:val="521D0C85"/>
    <w:rsid w:val="562B724C"/>
    <w:rsid w:val="57715B3F"/>
    <w:rsid w:val="57AE372B"/>
    <w:rsid w:val="589825E1"/>
    <w:rsid w:val="5BCF1086"/>
    <w:rsid w:val="5BD74A9E"/>
    <w:rsid w:val="5D0A5501"/>
    <w:rsid w:val="5DF63C9D"/>
    <w:rsid w:val="5EE7F985"/>
    <w:rsid w:val="5FF7F0F8"/>
    <w:rsid w:val="61592157"/>
    <w:rsid w:val="63EB1D92"/>
    <w:rsid w:val="641679CB"/>
    <w:rsid w:val="656F74B6"/>
    <w:rsid w:val="68360A1D"/>
    <w:rsid w:val="68B65AA7"/>
    <w:rsid w:val="6AFFA866"/>
    <w:rsid w:val="6DAD3A46"/>
    <w:rsid w:val="6ECD0DD4"/>
    <w:rsid w:val="6EF70AD3"/>
    <w:rsid w:val="6F3B6E8A"/>
    <w:rsid w:val="6FAFEEE6"/>
    <w:rsid w:val="6FB675B2"/>
    <w:rsid w:val="6FFF2E92"/>
    <w:rsid w:val="709A0466"/>
    <w:rsid w:val="712D320E"/>
    <w:rsid w:val="717B5FA3"/>
    <w:rsid w:val="748C0004"/>
    <w:rsid w:val="77C57C4A"/>
    <w:rsid w:val="79987709"/>
    <w:rsid w:val="7C8F3427"/>
    <w:rsid w:val="7F3702C5"/>
    <w:rsid w:val="7FF4B7AC"/>
    <w:rsid w:val="ABFFEB41"/>
    <w:rsid w:val="AFD76866"/>
    <w:rsid w:val="B7B18102"/>
    <w:rsid w:val="B9B75F4A"/>
    <w:rsid w:val="CDFBFC1F"/>
    <w:rsid w:val="DBED48A4"/>
    <w:rsid w:val="DCFF04D2"/>
    <w:rsid w:val="DFFE7D3F"/>
    <w:rsid w:val="E3FBE76D"/>
    <w:rsid w:val="E9FFB21F"/>
    <w:rsid w:val="F7D6511A"/>
    <w:rsid w:val="F7ED22F9"/>
    <w:rsid w:val="FFFE3B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lang w:val="en-US" w:eastAsia="zh-CN" w:bidi="ar-SA"/>
    </w:rPr>
  </w:style>
  <w:style w:type="paragraph" w:styleId="4">
    <w:name w:val="heading 1"/>
    <w:basedOn w:val="1"/>
    <w:next w:val="1"/>
    <w:qFormat/>
    <w:uiPriority w:val="9"/>
    <w:pPr>
      <w:keepLines/>
      <w:spacing w:before="280" w:after="280"/>
      <w:jc w:val="center"/>
      <w:outlineLvl w:val="0"/>
    </w:pPr>
    <w:rPr>
      <w:b/>
      <w:color w:val="000000"/>
      <w:sz w:val="36"/>
    </w:rPr>
  </w:style>
  <w:style w:type="paragraph" w:styleId="5">
    <w:name w:val="heading 2"/>
    <w:basedOn w:val="1"/>
    <w:next w:val="1"/>
    <w:qFormat/>
    <w:uiPriority w:val="9"/>
    <w:pPr>
      <w:keepLines/>
      <w:spacing w:before="280" w:after="280"/>
      <w:jc w:val="center"/>
      <w:outlineLvl w:val="1"/>
    </w:pPr>
    <w:rPr>
      <w:b/>
      <w:color w:val="000000"/>
      <w:sz w:val="32"/>
    </w:rPr>
  </w:style>
  <w:style w:type="paragraph" w:styleId="6">
    <w:name w:val="heading 3"/>
    <w:basedOn w:val="1"/>
    <w:next w:val="1"/>
    <w:qFormat/>
    <w:uiPriority w:val="9"/>
    <w:pPr>
      <w:keepLines/>
      <w:spacing w:before="280" w:after="280"/>
      <w:outlineLvl w:val="2"/>
    </w:pPr>
    <w:rPr>
      <w:b/>
      <w:color w:val="000000"/>
      <w:sz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7">
    <w:name w:val="Normal Indent"/>
    <w:basedOn w:val="1"/>
    <w:qFormat/>
    <w:uiPriority w:val="0"/>
    <w:pPr>
      <w:ind w:firstLine="420"/>
    </w:pPr>
  </w:style>
  <w:style w:type="paragraph" w:styleId="8">
    <w:name w:val="annotation text"/>
    <w:basedOn w:val="1"/>
    <w:link w:val="27"/>
    <w:qFormat/>
    <w:uiPriority w:val="0"/>
  </w:style>
  <w:style w:type="paragraph" w:styleId="9">
    <w:name w:val="Body Text"/>
    <w:basedOn w:val="1"/>
    <w:qFormat/>
    <w:uiPriority w:val="0"/>
    <w:pPr>
      <w:spacing w:line="360" w:lineRule="auto"/>
    </w:pPr>
    <w:rPr>
      <w:rFonts w:ascii="Calibri" w:hAnsi="Calibri" w:eastAsia="宋体"/>
      <w:szCs w:val="22"/>
    </w:rPr>
  </w:style>
  <w:style w:type="paragraph" w:styleId="10">
    <w:name w:val="Plain Text"/>
    <w:basedOn w:val="1"/>
    <w:qFormat/>
    <w:uiPriority w:val="0"/>
    <w:rPr>
      <w:rFonts w:ascii="宋体" w:hAnsi="Courier New"/>
      <w:szCs w:val="21"/>
    </w:rPr>
  </w:style>
  <w:style w:type="paragraph" w:styleId="11">
    <w:name w:val="footer"/>
    <w:basedOn w:val="1"/>
    <w:qFormat/>
    <w:uiPriority w:val="0"/>
    <w:pPr>
      <w:tabs>
        <w:tab w:val="center" w:pos="4153"/>
        <w:tab w:val="right" w:pos="8306"/>
      </w:tabs>
      <w:snapToGrid w:val="0"/>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3">
    <w:name w:val="toc 2"/>
    <w:basedOn w:val="1"/>
    <w:next w:val="1"/>
    <w:qFormat/>
    <w:uiPriority w:val="39"/>
    <w:pPr>
      <w:ind w:left="210"/>
      <w:jc w:val="left"/>
    </w:pPr>
    <w:rPr>
      <w:smallCaps/>
      <w:sz w:val="20"/>
      <w:szCs w:val="20"/>
    </w:rPr>
  </w:style>
  <w:style w:type="paragraph" w:styleId="14">
    <w:name w:val="Normal (Web)"/>
    <w:basedOn w:val="1"/>
    <w:qFormat/>
    <w:uiPriority w:val="99"/>
    <w:pPr>
      <w:spacing w:before="100" w:beforeAutospacing="1" w:after="100" w:afterAutospacing="1"/>
    </w:pPr>
  </w:style>
  <w:style w:type="paragraph" w:styleId="15">
    <w:name w:val="annotation subject"/>
    <w:basedOn w:val="8"/>
    <w:next w:val="8"/>
    <w:link w:val="28"/>
    <w:qFormat/>
    <w:uiPriority w:val="0"/>
    <w:rPr>
      <w:b/>
      <w:bCs/>
    </w:rPr>
  </w:style>
  <w:style w:type="character" w:styleId="18">
    <w:name w:val="annotation reference"/>
    <w:basedOn w:val="17"/>
    <w:qFormat/>
    <w:uiPriority w:val="0"/>
    <w:rPr>
      <w:sz w:val="21"/>
      <w:szCs w:val="21"/>
    </w:rPr>
  </w:style>
  <w:style w:type="paragraph" w:customStyle="1" w:styleId="19">
    <w:name w:val="正文1"/>
    <w:basedOn w:val="10"/>
    <w:next w:val="20"/>
    <w:qFormat/>
    <w:uiPriority w:val="0"/>
    <w:rPr>
      <w:rFonts w:ascii="Calibri" w:hAnsi="Calibri"/>
      <w:szCs w:val="22"/>
    </w:rPr>
  </w:style>
  <w:style w:type="paragraph" w:customStyle="1" w:styleId="20">
    <w:name w:val="纯文本1"/>
    <w:basedOn w:val="1"/>
    <w:qFormat/>
    <w:uiPriority w:val="0"/>
    <w:rPr>
      <w:rFonts w:ascii="宋体" w:hAnsi="Courier New" w:cs="Courier New"/>
      <w:szCs w:val="21"/>
    </w:rPr>
  </w:style>
  <w:style w:type="table" w:customStyle="1" w:styleId="21">
    <w:name w:val="Table Normal"/>
    <w:qFormat/>
    <w:uiPriority w:val="59"/>
    <w:tblPr>
      <w:tblCellMar>
        <w:top w:w="0" w:type="dxa"/>
        <w:left w:w="108" w:type="dxa"/>
        <w:bottom w:w="0" w:type="dxa"/>
        <w:right w:w="108" w:type="dxa"/>
      </w:tblCellMar>
    </w:tblPr>
  </w:style>
  <w:style w:type="paragraph" w:customStyle="1" w:styleId="22">
    <w:name w:val="font-fangsong *"/>
    <w:basedOn w:val="1"/>
    <w:qFormat/>
    <w:uiPriority w:val="0"/>
    <w:pPr>
      <w:spacing w:before="100" w:beforeAutospacing="1" w:after="100" w:afterAutospacing="1"/>
    </w:pPr>
    <w:rPr>
      <w:rFonts w:ascii="Simfang" w:hAnsi="Simfang" w:cs="Simfang"/>
    </w:rPr>
  </w:style>
  <w:style w:type="paragraph" w:customStyle="1" w:styleId="23">
    <w:name w:val="font-song *"/>
    <w:basedOn w:val="1"/>
    <w:qFormat/>
    <w:uiPriority w:val="0"/>
    <w:pPr>
      <w:spacing w:before="100" w:beforeAutospacing="1" w:after="100" w:afterAutospacing="1"/>
    </w:pPr>
    <w:rPr>
      <w:rFonts w:ascii="宋体" w:hAnsi="宋体" w:cs="宋体"/>
    </w:rPr>
  </w:style>
  <w:style w:type="paragraph" w:customStyle="1" w:styleId="24">
    <w:name w:val="font-yahei *"/>
    <w:basedOn w:val="1"/>
    <w:qFormat/>
    <w:uiPriority w:val="0"/>
    <w:pPr>
      <w:spacing w:before="100" w:beforeAutospacing="1" w:after="100" w:afterAutospacing="1"/>
    </w:pPr>
    <w:rPr>
      <w:rFonts w:ascii="Msyh" w:hAnsi="Msyh" w:cs="Msyh"/>
    </w:rPr>
  </w:style>
  <w:style w:type="character" w:customStyle="1" w:styleId="25">
    <w:name w:val="ql-author-5664"/>
    <w:qFormat/>
    <w:uiPriority w:val="0"/>
  </w:style>
  <w:style w:type="paragraph" w:customStyle="1" w:styleId="26">
    <w:name w:val="Revision"/>
    <w:hidden/>
    <w:unhideWhenUsed/>
    <w:qFormat/>
    <w:uiPriority w:val="99"/>
    <w:rPr>
      <w:rFonts w:ascii="Times New Roman" w:hAnsi="Times New Roman" w:cs="Times New Roman" w:eastAsiaTheme="minorEastAsia"/>
      <w:sz w:val="24"/>
      <w:lang w:val="en-US" w:eastAsia="zh-CN" w:bidi="ar-SA"/>
    </w:rPr>
  </w:style>
  <w:style w:type="character" w:customStyle="1" w:styleId="27">
    <w:name w:val="批注文字 字符"/>
    <w:basedOn w:val="17"/>
    <w:link w:val="8"/>
    <w:qFormat/>
    <w:uiPriority w:val="0"/>
    <w:rPr>
      <w:sz w:val="24"/>
    </w:rPr>
  </w:style>
  <w:style w:type="character" w:customStyle="1" w:styleId="28">
    <w:name w:val="批注主题 字符"/>
    <w:basedOn w:val="27"/>
    <w:link w:val="15"/>
    <w:qFormat/>
    <w:uiPriority w:val="0"/>
    <w:rPr>
      <w:b/>
      <w:bCs/>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Min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ine">
      <a:majorFont>
        <a:latin typeface="宋体"/>
        <a:ea typeface="宋体"/>
        <a:cs typeface="宋体"/>
      </a:majorFont>
      <a:minorFont>
        <a:latin typeface="宋体"/>
        <a:ea typeface="宋体"/>
        <a:cs typeface="宋体"/>
      </a:minorFont>
    </a:fontScheme>
    <a:fmtScheme name="Min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2484</Words>
  <Characters>2575</Characters>
  <Lines>1</Lines>
  <Paragraphs>1</Paragraphs>
  <TotalTime>1</TotalTime>
  <ScaleCrop>false</ScaleCrop>
  <LinksUpToDate>false</LinksUpToDate>
  <CharactersWithSpaces>2737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2024-07-10T04:11:00Z</dcterms:created>
  <dc:creator>法天使</dc:creator>
  <cp:lastModifiedBy>Peterson。</cp:lastModifiedBy>
  <cp:lastPrinted>2024-06-11T01:45:00Z</cp:lastPrinted>
  <dcterms:modified xsi:type="dcterms:W3CDTF">2026-03-30T03:44:14Z</dcterms:modified>
  <dc:title>一般活动整体承办服务合同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D2394CF2A5C1475B957BC8D041B53C77_13</vt:lpwstr>
  </property>
  <property fmtid="{D5CDD505-2E9C-101B-9397-08002B2CF9AE}" pid="4" name="KSOTemplateDocerSaveRecord">
    <vt:lpwstr>eyJoZGlkIjoiOGRmNzE3NGQxMzBkYTVkZDcwNjllNjUxYzYxNmM1MzMiLCJ1c2VySWQiOiIyMTI1MzEyMTMifQ==</vt:lpwstr>
  </property>
</Properties>
</file>