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投标</w:t>
      </w:r>
      <w:r>
        <w:rPr>
          <w:rFonts w:hint="eastAsia"/>
          <w:b/>
          <w:color w:val="000000" w:themeColor="text1"/>
          <w:sz w:val="28"/>
          <w:szCs w:val="28"/>
          <w14:textFill>
            <w14:solidFill>
              <w14:schemeClr w14:val="tx1"/>
            </w14:solidFill>
          </w14:textFill>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资格审查</w:t>
            </w:r>
            <w:r>
              <w:rPr>
                <w:rFonts w:hint="eastAsia" w:ascii="仿宋" w:hAnsi="仿宋" w:eastAsia="仿宋" w:cs="仿宋"/>
                <w:color w:val="auto"/>
                <w:sz w:val="28"/>
                <w:szCs w:val="24"/>
                <w:highlight w:val="none"/>
              </w:rPr>
              <w:t>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w:t>
            </w:r>
            <w:r>
              <w:rPr>
                <w:rFonts w:hint="eastAsia" w:ascii="仿宋" w:hAnsi="仿宋" w:eastAsia="仿宋" w:cs="仿宋"/>
                <w:color w:val="auto"/>
                <w:sz w:val="28"/>
                <w:szCs w:val="24"/>
                <w:highlight w:val="none"/>
                <w:lang w:val="en-US" w:eastAsia="zh-CN"/>
              </w:rPr>
              <w:t>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12" w:type="dxa"/>
            <w:vMerge w:val="continue"/>
            <w:tcBorders/>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tcBorders/>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投标报价清单</w:t>
            </w:r>
          </w:p>
        </w:tc>
        <w:tc>
          <w:tcPr>
            <w:tcW w:w="5128" w:type="dxa"/>
            <w:shd w:val="clear" w:color="auto" w:fill="auto"/>
            <w:vAlign w:val="center"/>
          </w:tcPr>
          <w:p>
            <w:pPr>
              <w:adjustRightInd w:val="0"/>
              <w:snapToGrid w:val="0"/>
              <w:spacing w:line="44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按照遴选公告附件2填报单价，原件加盖公章。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同类业绩</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投标人提供近3年（自投标截止之日起倒推，以合同签订时间为准）在国内承接的同类业绩（同类业绩指：装饰类灯具供货业绩）。单项合同金额大于本项目招标控制价1/2的为有效同类业绩。</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①提供</w:t>
            </w:r>
            <w:r>
              <w:rPr>
                <w:rFonts w:hint="default" w:ascii="仿宋" w:hAnsi="仿宋" w:eastAsia="仿宋" w:cs="仿宋"/>
                <w:color w:val="auto"/>
                <w:sz w:val="28"/>
                <w:szCs w:val="24"/>
                <w:highlight w:val="none"/>
                <w:lang w:val="en-US" w:eastAsia="zh-CN"/>
              </w:rPr>
              <w:t>合同及加盖用户单位公章的验收报告扫描件，须体现合同主体、合同范围、合同金额、合同盖章、货物清单等关键页。其中合同内容、货物清单须体现“装饰类灯具”相关或类似字眼。</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②每份合同只计算一次，未提供、显示模糊或资料不符合要求的不得分。评标委员会有权对投标人提供的资料真实性进行核查。</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③如上述证明材料未能体现主要信息的，则可另行补充由</w:t>
            </w:r>
            <w:r>
              <w:rPr>
                <w:rFonts w:hint="eastAsia" w:ascii="仿宋" w:hAnsi="仿宋" w:eastAsia="仿宋" w:cs="仿宋"/>
                <w:color w:val="auto"/>
                <w:sz w:val="28"/>
                <w:szCs w:val="24"/>
                <w:highlight w:val="none"/>
                <w:lang w:val="en-US" w:eastAsia="zh-CN"/>
              </w:rPr>
              <w:t>甲方</w:t>
            </w:r>
            <w:r>
              <w:rPr>
                <w:rFonts w:hint="default" w:ascii="仿宋" w:hAnsi="仿宋" w:eastAsia="仿宋" w:cs="仿宋"/>
                <w:color w:val="auto"/>
                <w:sz w:val="28"/>
                <w:szCs w:val="24"/>
                <w:highlight w:val="none"/>
                <w:lang w:val="en-US" w:eastAsia="zh-CN"/>
              </w:rPr>
              <w:t>出具的证明材料进行辅证，投标人自行出具的证明材料无效。</w:t>
            </w:r>
          </w:p>
          <w:p>
            <w:pPr>
              <w:adjustRightInd w:val="0"/>
              <w:snapToGrid w:val="0"/>
              <w:spacing w:line="440" w:lineRule="exact"/>
              <w:jc w:val="left"/>
              <w:rPr>
                <w:rFonts w:hint="eastAsia"/>
                <w:lang w:val="en-US" w:eastAsia="zh-CN"/>
              </w:rPr>
            </w:pPr>
            <w:r>
              <w:rPr>
                <w:rFonts w:hint="eastAsia" w:ascii="仿宋" w:hAnsi="仿宋" w:eastAsia="仿宋" w:cs="仿宋"/>
                <w:color w:val="auto"/>
                <w:sz w:val="28"/>
                <w:szCs w:val="24"/>
                <w:highlight w:val="none"/>
                <w:lang w:val="en-US" w:eastAsia="zh-CN"/>
              </w:rPr>
              <w:t>④</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360" w:lineRule="auto"/>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综合实力认证</w:t>
            </w:r>
          </w:p>
        </w:tc>
        <w:tc>
          <w:tcPr>
            <w:tcW w:w="5128" w:type="dxa"/>
            <w:shd w:val="clear" w:color="auto" w:fill="auto"/>
            <w:vAlign w:val="center"/>
          </w:tcPr>
          <w:p>
            <w:pPr>
              <w:adjustRightInd w:val="0"/>
              <w:snapToGrid w:val="0"/>
              <w:spacing w:line="360" w:lineRule="auto"/>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投标人具有有效期内的：</w:t>
            </w:r>
          </w:p>
          <w:p>
            <w:pPr>
              <w:pStyle w:val="6"/>
              <w:adjustRightInd w:val="0"/>
              <w:snapToGrid w:val="0"/>
              <w:spacing w:line="360" w:lineRule="auto"/>
              <w:ind w:left="0" w:firstLine="0"/>
              <w:rPr>
                <w:rFonts w:hint="eastAsia" w:ascii="仿宋" w:hAnsi="仿宋" w:eastAsia="仿宋" w:cs="仿宋"/>
                <w:color w:val="auto"/>
                <w:kern w:val="2"/>
                <w:sz w:val="28"/>
                <w:szCs w:val="24"/>
                <w:highlight w:val="none"/>
                <w:lang w:val="en-US" w:eastAsia="zh-CN"/>
              </w:rPr>
            </w:pPr>
            <w:r>
              <w:rPr>
                <w:rFonts w:hint="eastAsia" w:ascii="仿宋" w:hAnsi="仿宋" w:eastAsia="仿宋" w:cs="仿宋"/>
                <w:color w:val="auto"/>
                <w:kern w:val="2"/>
                <w:sz w:val="28"/>
                <w:szCs w:val="24"/>
                <w:highlight w:val="none"/>
                <w:lang w:val="en-US" w:eastAsia="zh-CN"/>
              </w:rPr>
              <w:t>①质量管理体系认证（ISO9001）证书</w:t>
            </w:r>
            <w:r>
              <w:rPr>
                <w:rFonts w:hint="eastAsia" w:ascii="仿宋" w:hAnsi="仿宋" w:eastAsia="仿宋" w:cs="仿宋"/>
                <w:color w:val="auto"/>
                <w:kern w:val="2"/>
                <w:sz w:val="28"/>
                <w:szCs w:val="24"/>
                <w:highlight w:val="none"/>
                <w:lang w:val="en-US" w:eastAsia="zh-CN"/>
              </w:rPr>
              <w:t>；</w:t>
            </w:r>
          </w:p>
          <w:p>
            <w:pPr>
              <w:pStyle w:val="6"/>
              <w:adjustRightInd w:val="0"/>
              <w:snapToGrid w:val="0"/>
              <w:spacing w:line="360" w:lineRule="auto"/>
              <w:ind w:left="0" w:firstLine="0"/>
              <w:rPr>
                <w:rFonts w:hint="eastAsia" w:ascii="仿宋" w:hAnsi="仿宋" w:eastAsia="仿宋" w:cs="仿宋"/>
                <w:color w:val="auto"/>
                <w:kern w:val="2"/>
                <w:sz w:val="28"/>
                <w:szCs w:val="24"/>
                <w:highlight w:val="none"/>
                <w:lang w:val="en-US" w:eastAsia="zh-CN"/>
              </w:rPr>
            </w:pPr>
            <w:r>
              <w:rPr>
                <w:rFonts w:hint="eastAsia" w:ascii="仿宋" w:hAnsi="仿宋" w:eastAsia="仿宋" w:cs="仿宋"/>
                <w:color w:val="auto"/>
                <w:kern w:val="2"/>
                <w:sz w:val="28"/>
                <w:szCs w:val="24"/>
                <w:highlight w:val="none"/>
                <w:lang w:val="en-US" w:eastAsia="zh-CN"/>
              </w:rPr>
              <w:t>②环境管理体系认证证书</w:t>
            </w:r>
            <w:r>
              <w:rPr>
                <w:rFonts w:hint="eastAsia" w:ascii="仿宋" w:hAnsi="仿宋" w:eastAsia="仿宋" w:cs="仿宋"/>
                <w:color w:val="auto"/>
                <w:kern w:val="2"/>
                <w:sz w:val="28"/>
                <w:szCs w:val="24"/>
                <w:highlight w:val="none"/>
                <w:lang w:val="en-US" w:eastAsia="zh-CN"/>
              </w:rPr>
              <w:t>；</w:t>
            </w:r>
          </w:p>
          <w:p>
            <w:pPr>
              <w:pStyle w:val="6"/>
              <w:adjustRightInd w:val="0"/>
              <w:snapToGrid w:val="0"/>
              <w:spacing w:line="360" w:lineRule="auto"/>
              <w:ind w:left="0" w:firstLine="0"/>
              <w:rPr>
                <w:rFonts w:hint="eastAsia" w:ascii="仿宋" w:hAnsi="仿宋" w:eastAsia="仿宋" w:cs="仿宋"/>
                <w:color w:val="auto"/>
                <w:kern w:val="2"/>
                <w:sz w:val="28"/>
                <w:szCs w:val="24"/>
                <w:highlight w:val="none"/>
                <w:lang w:val="en-US" w:eastAsia="zh-CN"/>
              </w:rPr>
            </w:pPr>
            <w:r>
              <w:rPr>
                <w:rFonts w:hint="eastAsia" w:ascii="仿宋" w:hAnsi="仿宋" w:eastAsia="仿宋" w:cs="仿宋"/>
                <w:color w:val="auto"/>
                <w:kern w:val="2"/>
                <w:sz w:val="28"/>
                <w:szCs w:val="24"/>
                <w:highlight w:val="none"/>
                <w:lang w:val="en-US" w:eastAsia="zh-CN"/>
              </w:rPr>
              <w:t>③职业健康安全管理体系认证证书</w:t>
            </w:r>
            <w:r>
              <w:rPr>
                <w:rFonts w:hint="eastAsia" w:ascii="仿宋" w:hAnsi="仿宋" w:eastAsia="仿宋" w:cs="仿宋"/>
                <w:color w:val="auto"/>
                <w:kern w:val="2"/>
                <w:sz w:val="28"/>
                <w:szCs w:val="24"/>
                <w:highlight w:val="none"/>
                <w:lang w:val="en-US" w:eastAsia="zh-CN"/>
              </w:rPr>
              <w:t>；</w:t>
            </w:r>
          </w:p>
          <w:p>
            <w:pPr>
              <w:pStyle w:val="6"/>
              <w:adjustRightInd w:val="0"/>
              <w:snapToGrid w:val="0"/>
              <w:spacing w:line="360" w:lineRule="auto"/>
              <w:ind w:left="0" w:firstLine="0"/>
              <w:rPr>
                <w:rFonts w:hint="eastAsia" w:ascii="仿宋" w:hAnsi="仿宋" w:eastAsia="仿宋" w:cs="仿宋"/>
                <w:color w:val="auto"/>
                <w:kern w:val="2"/>
                <w:sz w:val="28"/>
                <w:szCs w:val="24"/>
                <w:highlight w:val="none"/>
                <w:lang w:val="en-US" w:eastAsia="zh-CN"/>
              </w:rPr>
            </w:pPr>
            <w:r>
              <w:rPr>
                <w:rFonts w:hint="eastAsia" w:ascii="仿宋" w:hAnsi="仿宋" w:eastAsia="仿宋" w:cs="仿宋"/>
                <w:color w:val="auto"/>
                <w:kern w:val="2"/>
                <w:sz w:val="28"/>
                <w:szCs w:val="24"/>
                <w:highlight w:val="none"/>
                <w:lang w:val="en-US" w:eastAsia="zh-CN"/>
              </w:rPr>
              <w:t>④固定式灯具（吊式/吸顶式、壁式）的中国国家强制性产品认证证书(CCC)</w:t>
            </w:r>
            <w:r>
              <w:rPr>
                <w:rFonts w:hint="eastAsia" w:ascii="仿宋" w:hAnsi="仿宋" w:eastAsia="仿宋" w:cs="仿宋"/>
                <w:color w:val="auto"/>
                <w:kern w:val="2"/>
                <w:sz w:val="28"/>
                <w:szCs w:val="24"/>
                <w:highlight w:val="none"/>
                <w:lang w:val="en-US" w:eastAsia="zh-CN"/>
              </w:rPr>
              <w:t>；</w:t>
            </w:r>
          </w:p>
          <w:p>
            <w:pPr>
              <w:adjustRightInd w:val="0"/>
              <w:snapToGrid w:val="0"/>
              <w:spacing w:line="360" w:lineRule="auto"/>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格式详见“附件1.5”，</w:t>
            </w: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p>
          <w:p>
            <w:pPr>
              <w:adjustRightInd w:val="0"/>
              <w:snapToGrid w:val="0"/>
              <w:spacing w:line="360" w:lineRule="auto"/>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①</w:t>
            </w:r>
            <w:r>
              <w:rPr>
                <w:rFonts w:hint="default" w:ascii="仿宋" w:hAnsi="仿宋" w:eastAsia="仿宋" w:cs="仿宋"/>
                <w:color w:val="auto"/>
                <w:sz w:val="28"/>
                <w:szCs w:val="24"/>
                <w:highlight w:val="none"/>
                <w:lang w:val="en-US" w:eastAsia="zh-CN"/>
              </w:rPr>
              <w:t>投标人提供有效期内的体系认证证书扫描件</w:t>
            </w:r>
            <w:r>
              <w:rPr>
                <w:rFonts w:hint="eastAsia" w:ascii="仿宋" w:hAnsi="仿宋" w:eastAsia="仿宋" w:cs="仿宋"/>
                <w:color w:val="auto"/>
                <w:sz w:val="28"/>
                <w:szCs w:val="24"/>
                <w:highlight w:val="none"/>
                <w:lang w:val="en-US" w:eastAsia="zh-CN"/>
              </w:rPr>
              <w:t>；</w:t>
            </w:r>
          </w:p>
          <w:p>
            <w:pPr>
              <w:adjustRightInd w:val="0"/>
              <w:snapToGrid w:val="0"/>
              <w:spacing w:line="360" w:lineRule="auto"/>
              <w:jc w:val="left"/>
              <w:rPr>
                <w:rFonts w:hint="default"/>
                <w:lang w:val="en-US"/>
              </w:rPr>
            </w:pPr>
            <w:r>
              <w:rPr>
                <w:rFonts w:hint="eastAsia" w:ascii="仿宋" w:hAnsi="仿宋" w:eastAsia="仿宋" w:cs="仿宋"/>
                <w:color w:val="auto"/>
                <w:sz w:val="28"/>
                <w:szCs w:val="24"/>
                <w:highlight w:val="none"/>
                <w:lang w:val="en-US" w:eastAsia="zh-CN"/>
              </w:rPr>
              <w:t>②</w:t>
            </w:r>
            <w:r>
              <w:rPr>
                <w:rFonts w:hint="default" w:ascii="仿宋" w:hAnsi="仿宋" w:eastAsia="仿宋" w:cs="仿宋"/>
                <w:color w:val="auto"/>
                <w:sz w:val="28"/>
                <w:szCs w:val="24"/>
                <w:highlight w:val="none"/>
                <w:lang w:val="en-US" w:eastAsia="zh-CN"/>
              </w:rPr>
              <w:t>在全国认证认可信息公共服务平台（认 e 云）（http://cx.cnca.cn/CertECloud/index/index/page）查询有效的截图，原件备查。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rPr>
            </w:pPr>
            <w:r>
              <w:rPr>
                <w:rFonts w:hint="eastAsia" w:ascii="仿宋" w:hAnsi="仿宋" w:eastAsia="仿宋" w:cs="仿宋"/>
                <w:color w:val="auto"/>
                <w:kern w:val="2"/>
                <w:sz w:val="28"/>
                <w:szCs w:val="24"/>
                <w:highlight w:val="none"/>
                <w:lang w:val="en-US" w:eastAsia="zh-CN" w:bidi="ar"/>
              </w:rPr>
              <w:t>深化设计能力</w:t>
            </w:r>
            <w:r>
              <w:rPr>
                <w:rFonts w:hint="eastAsia" w:ascii="仿宋" w:hAnsi="仿宋" w:eastAsia="仿宋" w:cs="仿宋"/>
                <w:color w:val="auto"/>
                <w:sz w:val="28"/>
                <w:szCs w:val="24"/>
                <w:highlight w:val="none"/>
                <w:lang w:val="en-US" w:eastAsia="zh-CN"/>
              </w:rPr>
              <w:t>及实施服务方案</w:t>
            </w:r>
          </w:p>
        </w:tc>
        <w:tc>
          <w:tcPr>
            <w:tcW w:w="5128" w:type="dxa"/>
            <w:shd w:val="clear" w:color="auto" w:fill="auto"/>
            <w:vAlign w:val="center"/>
          </w:tcPr>
          <w:p>
            <w:pPr>
              <w:keepNext w:val="0"/>
              <w:keepLines w:val="0"/>
              <w:widowControl/>
              <w:numPr>
                <w:ilvl w:val="-1"/>
                <w:numId w:val="0"/>
              </w:numPr>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kern w:val="2"/>
                <w:sz w:val="28"/>
                <w:szCs w:val="24"/>
                <w:highlight w:val="none"/>
                <w:lang w:val="en-US" w:eastAsia="zh-CN" w:bidi="ar"/>
              </w:rPr>
            </w:pPr>
            <w:r>
              <w:rPr>
                <w:rFonts w:hint="eastAsia" w:ascii="仿宋" w:hAnsi="仿宋" w:eastAsia="仿宋" w:cs="仿宋"/>
                <w:color w:val="auto"/>
                <w:kern w:val="2"/>
                <w:sz w:val="28"/>
                <w:szCs w:val="24"/>
                <w:highlight w:val="none"/>
                <w:lang w:val="en-US" w:eastAsia="zh-CN" w:bidi="ar"/>
              </w:rPr>
              <w:t>（1）</w:t>
            </w:r>
            <w:r>
              <w:rPr>
                <w:rFonts w:hint="eastAsia" w:ascii="仿宋" w:hAnsi="仿宋" w:eastAsia="仿宋" w:cs="仿宋"/>
                <w:color w:val="auto"/>
                <w:kern w:val="2"/>
                <w:sz w:val="28"/>
                <w:szCs w:val="24"/>
                <w:highlight w:val="none"/>
                <w:lang w:val="en-US" w:eastAsia="zh-CN" w:bidi="ar"/>
              </w:rPr>
              <w:t>投标人提供对项目设计风格、定位、品味格调的深化方案及深化图纸</w:t>
            </w:r>
            <w:r>
              <w:rPr>
                <w:rFonts w:hint="eastAsia" w:ascii="仿宋" w:hAnsi="仿宋" w:eastAsia="仿宋" w:cs="仿宋"/>
                <w:color w:val="auto"/>
                <w:kern w:val="2"/>
                <w:sz w:val="28"/>
                <w:szCs w:val="24"/>
                <w:highlight w:val="none"/>
                <w:lang w:val="en-US" w:eastAsia="zh-CN" w:bidi="ar"/>
              </w:rPr>
              <w:t>。格式自拟，未提供不得分</w:t>
            </w:r>
            <w:r>
              <w:rPr>
                <w:rFonts w:hint="eastAsia" w:ascii="仿宋" w:hAnsi="仿宋" w:eastAsia="仿宋" w:cs="仿宋"/>
                <w:color w:val="auto"/>
                <w:kern w:val="2"/>
                <w:sz w:val="28"/>
                <w:szCs w:val="24"/>
                <w:highlight w:val="none"/>
                <w:lang w:val="en-US" w:eastAsia="zh-CN" w:bidi="ar"/>
              </w:rPr>
              <w:t>。</w:t>
            </w:r>
          </w:p>
          <w:p>
            <w:pPr>
              <w:keepNext w:val="0"/>
              <w:keepLines w:val="0"/>
              <w:widowControl/>
              <w:numPr>
                <w:ilvl w:val="-1"/>
                <w:numId w:val="0"/>
              </w:numPr>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kern w:val="2"/>
                <w:sz w:val="28"/>
                <w:szCs w:val="24"/>
                <w:highlight w:val="none"/>
                <w:lang w:val="en-US" w:eastAsia="zh-CN" w:bidi="ar"/>
              </w:rPr>
            </w:pPr>
            <w:r>
              <w:rPr>
                <w:rFonts w:hint="eastAsia" w:ascii="仿宋" w:hAnsi="仿宋" w:eastAsia="仿宋" w:cs="仿宋"/>
                <w:color w:val="auto"/>
                <w:kern w:val="2"/>
                <w:sz w:val="28"/>
                <w:szCs w:val="24"/>
                <w:highlight w:val="none"/>
                <w:lang w:val="en-US" w:eastAsia="zh-CN" w:bidi="ar"/>
              </w:rPr>
              <w:t>（2）</w:t>
            </w:r>
            <w:r>
              <w:rPr>
                <w:rFonts w:hint="eastAsia" w:ascii="仿宋" w:hAnsi="仿宋" w:eastAsia="仿宋" w:cs="仿宋"/>
                <w:b w:val="0"/>
                <w:bCs w:val="0"/>
                <w:color w:val="auto"/>
                <w:kern w:val="2"/>
                <w:sz w:val="28"/>
                <w:szCs w:val="24"/>
                <w:highlight w:val="none"/>
                <w:lang w:val="en-US" w:eastAsia="zh-CN" w:bidi="ar"/>
              </w:rPr>
              <w:t>投标人</w:t>
            </w:r>
            <w:r>
              <w:rPr>
                <w:rFonts w:hint="eastAsia" w:ascii="仿宋" w:hAnsi="仿宋" w:eastAsia="仿宋" w:cs="仿宋"/>
                <w:b w:val="0"/>
                <w:bCs w:val="0"/>
                <w:color w:val="auto"/>
                <w:kern w:val="2"/>
                <w:sz w:val="28"/>
                <w:szCs w:val="24"/>
                <w:highlight w:val="none"/>
                <w:lang w:val="en-US" w:eastAsia="zh-CN" w:bidi="ar"/>
              </w:rPr>
              <w:t>提供</w:t>
            </w:r>
            <w:r>
              <w:rPr>
                <w:rFonts w:hint="eastAsia" w:ascii="仿宋" w:hAnsi="仿宋" w:eastAsia="仿宋" w:cs="仿宋"/>
                <w:b w:val="0"/>
                <w:bCs w:val="0"/>
                <w:color w:val="auto"/>
                <w:kern w:val="2"/>
                <w:sz w:val="28"/>
                <w:szCs w:val="24"/>
                <w:highlight w:val="none"/>
                <w:lang w:val="en-US" w:eastAsia="zh-CN" w:bidi="ar"/>
              </w:rPr>
              <w:t>实施方案</w:t>
            </w:r>
            <w:r>
              <w:rPr>
                <w:rFonts w:hint="eastAsia" w:ascii="仿宋" w:hAnsi="仿宋" w:eastAsia="仿宋" w:cs="仿宋"/>
                <w:b w:val="0"/>
                <w:bCs w:val="0"/>
                <w:color w:val="auto"/>
                <w:kern w:val="2"/>
                <w:sz w:val="28"/>
                <w:szCs w:val="24"/>
                <w:highlight w:val="none"/>
                <w:lang w:val="en-US" w:eastAsia="zh-CN" w:bidi="ar"/>
              </w:rPr>
              <w:t>，</w:t>
            </w:r>
            <w:r>
              <w:rPr>
                <w:rFonts w:hint="eastAsia" w:ascii="仿宋" w:hAnsi="仿宋" w:eastAsia="仿宋" w:cs="仿宋"/>
                <w:color w:val="auto"/>
                <w:kern w:val="2"/>
                <w:sz w:val="28"/>
                <w:szCs w:val="24"/>
                <w:highlight w:val="none"/>
                <w:lang w:val="en-US" w:eastAsia="zh-CN" w:bidi="ar"/>
              </w:rPr>
              <w:t>主要内容为质量保证措施、全流程生产工艺及设备配置、施工组织方案、现场安全文明措施、供货安装计划及服务方案等，需要提供落地方案实施过程中会通知设计师及业主审查过程作业的计划，避免落地方案与实际不符。</w:t>
            </w:r>
            <w:r>
              <w:rPr>
                <w:rFonts w:hint="eastAsia" w:ascii="仿宋" w:hAnsi="仿宋" w:eastAsia="仿宋" w:cs="仿宋"/>
                <w:color w:val="auto"/>
                <w:kern w:val="2"/>
                <w:sz w:val="28"/>
                <w:szCs w:val="24"/>
                <w:highlight w:val="none"/>
                <w:lang w:val="en-US" w:eastAsia="zh-CN" w:bidi="ar"/>
              </w:rPr>
              <w:t>格式自拟，未提供不得分。</w:t>
            </w:r>
          </w:p>
          <w:p>
            <w:pPr>
              <w:keepNext w:val="0"/>
              <w:keepLines w:val="0"/>
              <w:widowControl/>
              <w:numPr>
                <w:numId w:val="0"/>
              </w:numPr>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4"/>
                <w:highlight w:val="none"/>
                <w:lang w:val="en-US"/>
              </w:rPr>
            </w:pPr>
            <w:r>
              <w:rPr>
                <w:rFonts w:hint="eastAsia" w:ascii="仿宋" w:hAnsi="仿宋" w:eastAsia="仿宋" w:cs="仿宋"/>
                <w:color w:val="auto"/>
                <w:kern w:val="2"/>
                <w:sz w:val="28"/>
                <w:szCs w:val="24"/>
                <w:highlight w:val="none"/>
                <w:lang w:val="en-US" w:eastAsia="zh-CN" w:bidi="ar"/>
              </w:rPr>
              <w:t>（3）</w:t>
            </w:r>
            <w:r>
              <w:rPr>
                <w:rFonts w:hint="eastAsia" w:ascii="仿宋" w:hAnsi="仿宋" w:eastAsia="仿宋" w:cs="仿宋"/>
                <w:b w:val="0"/>
                <w:bCs w:val="0"/>
                <w:color w:val="auto"/>
                <w:kern w:val="2"/>
                <w:sz w:val="28"/>
                <w:szCs w:val="24"/>
                <w:highlight w:val="none"/>
                <w:lang w:val="en-US" w:eastAsia="zh-CN" w:bidi="ar"/>
              </w:rPr>
              <w:t>投标人</w:t>
            </w:r>
            <w:r>
              <w:rPr>
                <w:rFonts w:hint="eastAsia" w:ascii="仿宋" w:hAnsi="仿宋" w:eastAsia="仿宋" w:cs="仿宋"/>
                <w:b w:val="0"/>
                <w:bCs w:val="0"/>
                <w:color w:val="auto"/>
                <w:kern w:val="2"/>
                <w:sz w:val="28"/>
                <w:szCs w:val="24"/>
                <w:highlight w:val="none"/>
                <w:lang w:val="en-US" w:eastAsia="zh-CN" w:bidi="ar"/>
              </w:rPr>
              <w:t>提供</w:t>
            </w:r>
            <w:r>
              <w:rPr>
                <w:rFonts w:hint="eastAsia" w:ascii="仿宋" w:hAnsi="仿宋" w:eastAsia="仿宋" w:cs="仿宋"/>
                <w:b w:val="0"/>
                <w:bCs w:val="0"/>
                <w:color w:val="auto"/>
                <w:kern w:val="2"/>
                <w:sz w:val="28"/>
                <w:szCs w:val="24"/>
                <w:highlight w:val="none"/>
                <w:lang w:val="en-US" w:eastAsia="zh-CN" w:bidi="ar"/>
              </w:rPr>
              <w:t>售后服务方案</w:t>
            </w:r>
            <w:r>
              <w:rPr>
                <w:rFonts w:hint="eastAsia" w:ascii="仿宋" w:hAnsi="仿宋" w:eastAsia="仿宋" w:cs="仿宋"/>
                <w:b w:val="0"/>
                <w:bCs w:val="0"/>
                <w:color w:val="auto"/>
                <w:kern w:val="2"/>
                <w:sz w:val="28"/>
                <w:szCs w:val="24"/>
                <w:highlight w:val="none"/>
                <w:lang w:val="en-US" w:eastAsia="zh-CN" w:bidi="ar"/>
              </w:rPr>
              <w:t>，</w:t>
            </w:r>
            <w:r>
              <w:rPr>
                <w:rFonts w:hint="eastAsia" w:ascii="仿宋" w:hAnsi="仿宋" w:eastAsia="仿宋" w:cs="仿宋"/>
                <w:color w:val="auto"/>
                <w:kern w:val="2"/>
                <w:sz w:val="28"/>
                <w:szCs w:val="24"/>
                <w:highlight w:val="none"/>
                <w:lang w:val="en-US" w:eastAsia="zh-CN" w:bidi="ar"/>
              </w:rPr>
              <w:t>格式自拟，未提供不得分。招标人将</w:t>
            </w:r>
            <w:r>
              <w:rPr>
                <w:rFonts w:hint="eastAsia" w:ascii="仿宋" w:hAnsi="仿宋" w:eastAsia="仿宋" w:cs="仿宋"/>
                <w:color w:val="auto"/>
                <w:kern w:val="2"/>
                <w:sz w:val="28"/>
                <w:szCs w:val="24"/>
                <w:highlight w:val="none"/>
                <w:lang w:val="en-US" w:eastAsia="zh-CN" w:bidi="ar"/>
              </w:rPr>
              <w:t>横向比较投标人提供详细的售后服务方案包括（免费质保期、响应时间、提供备品备件价格清单及赠送方案进行评分，具体如下：</w:t>
            </w:r>
          </w:p>
          <w:p>
            <w:pPr>
              <w:keepNext w:val="0"/>
              <w:keepLines w:val="0"/>
              <w:widowControl/>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4"/>
                <w:highlight w:val="none"/>
                <w:lang w:val="en-US"/>
              </w:rPr>
            </w:pPr>
            <w:r>
              <w:rPr>
                <w:rFonts w:hint="eastAsia" w:ascii="仿宋" w:hAnsi="仿宋" w:eastAsia="仿宋" w:cs="仿宋"/>
                <w:color w:val="auto"/>
                <w:kern w:val="2"/>
                <w:sz w:val="28"/>
                <w:szCs w:val="24"/>
                <w:highlight w:val="none"/>
                <w:lang w:val="en-US" w:eastAsia="zh-CN" w:bidi="ar"/>
              </w:rPr>
              <w:t>①质保期：承诺质保期</w:t>
            </w:r>
            <w:r>
              <w:rPr>
                <w:rFonts w:hint="eastAsia" w:ascii="仿宋" w:hAnsi="仿宋" w:eastAsia="仿宋" w:cs="仿宋"/>
                <w:color w:val="auto"/>
                <w:kern w:val="2"/>
                <w:sz w:val="28"/>
                <w:szCs w:val="24"/>
                <w:highlight w:val="none"/>
                <w:lang w:val="en-US" w:eastAsia="zh-CN" w:bidi="ar"/>
              </w:rPr>
              <w:t>少于</w:t>
            </w:r>
            <w:r>
              <w:rPr>
                <w:rFonts w:hint="eastAsia" w:ascii="仿宋" w:hAnsi="仿宋" w:eastAsia="仿宋" w:cs="仿宋"/>
                <w:b w:val="0"/>
                <w:bCs w:val="0"/>
                <w:color w:val="auto"/>
                <w:kern w:val="2"/>
                <w:sz w:val="28"/>
                <w:szCs w:val="24"/>
                <w:highlight w:val="none"/>
                <w:lang w:val="en-US" w:eastAsia="zh-CN" w:bidi="ar"/>
              </w:rPr>
              <w:t>5年</w:t>
            </w:r>
            <w:r>
              <w:rPr>
                <w:rFonts w:hint="eastAsia" w:ascii="仿宋" w:hAnsi="仿宋" w:eastAsia="仿宋" w:cs="仿宋"/>
                <w:b w:val="0"/>
                <w:bCs w:val="0"/>
                <w:color w:val="auto"/>
                <w:kern w:val="2"/>
                <w:sz w:val="28"/>
                <w:szCs w:val="24"/>
                <w:highlight w:val="none"/>
                <w:lang w:val="en-US" w:eastAsia="zh-CN" w:bidi="ar"/>
              </w:rPr>
              <w:t>的不得分</w:t>
            </w:r>
            <w:r>
              <w:rPr>
                <w:rFonts w:hint="eastAsia" w:ascii="仿宋" w:hAnsi="仿宋" w:eastAsia="仿宋" w:cs="仿宋"/>
                <w:b w:val="0"/>
                <w:bCs w:val="0"/>
                <w:color w:val="auto"/>
                <w:kern w:val="2"/>
                <w:sz w:val="28"/>
                <w:szCs w:val="24"/>
                <w:highlight w:val="none"/>
                <w:lang w:val="en-US" w:eastAsia="zh-CN" w:bidi="ar"/>
              </w:rPr>
              <w:t>。</w:t>
            </w:r>
          </w:p>
          <w:p>
            <w:pPr>
              <w:keepNext w:val="0"/>
              <w:keepLines w:val="0"/>
              <w:widowControl/>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4"/>
                <w:highlight w:val="none"/>
                <w:lang w:val="en-US"/>
              </w:rPr>
            </w:pPr>
            <w:r>
              <w:rPr>
                <w:rFonts w:hint="eastAsia" w:ascii="仿宋" w:hAnsi="仿宋" w:eastAsia="仿宋" w:cs="仿宋"/>
                <w:color w:val="auto"/>
                <w:kern w:val="2"/>
                <w:sz w:val="28"/>
                <w:szCs w:val="24"/>
                <w:highlight w:val="none"/>
                <w:lang w:val="en-US" w:eastAsia="zh-CN" w:bidi="ar"/>
              </w:rPr>
              <w:t>②接报后上门维修响应时间</w:t>
            </w:r>
            <w:r>
              <w:rPr>
                <w:rFonts w:hint="eastAsia" w:ascii="仿宋" w:hAnsi="仿宋" w:eastAsia="仿宋" w:cs="仿宋"/>
                <w:b w:val="0"/>
                <w:bCs w:val="0"/>
                <w:color w:val="auto"/>
                <w:kern w:val="2"/>
                <w:sz w:val="28"/>
                <w:szCs w:val="24"/>
                <w:highlight w:val="none"/>
                <w:lang w:val="en-US" w:eastAsia="zh-CN" w:bidi="ar"/>
              </w:rPr>
              <w:t>，</w:t>
            </w:r>
            <w:r>
              <w:rPr>
                <w:rFonts w:hint="eastAsia" w:ascii="仿宋" w:hAnsi="仿宋" w:eastAsia="仿宋" w:cs="仿宋"/>
                <w:color w:val="auto"/>
                <w:kern w:val="2"/>
                <w:sz w:val="28"/>
                <w:szCs w:val="24"/>
                <w:highlight w:val="none"/>
                <w:lang w:val="en-US" w:eastAsia="zh-CN" w:bidi="ar"/>
              </w:rPr>
              <w:t>承诺超过24小时</w:t>
            </w:r>
            <w:r>
              <w:rPr>
                <w:rFonts w:hint="eastAsia" w:ascii="仿宋" w:hAnsi="仿宋" w:eastAsia="仿宋" w:cs="仿宋"/>
                <w:color w:val="auto"/>
                <w:kern w:val="2"/>
                <w:sz w:val="28"/>
                <w:szCs w:val="24"/>
                <w:highlight w:val="none"/>
                <w:lang w:val="en-US" w:eastAsia="zh-CN" w:bidi="ar"/>
              </w:rPr>
              <w:t>上门维修</w:t>
            </w:r>
            <w:r>
              <w:rPr>
                <w:rFonts w:hint="eastAsia" w:ascii="仿宋" w:hAnsi="仿宋" w:eastAsia="仿宋" w:cs="仿宋"/>
                <w:color w:val="auto"/>
                <w:kern w:val="2"/>
                <w:sz w:val="28"/>
                <w:szCs w:val="24"/>
                <w:highlight w:val="none"/>
                <w:lang w:val="en-US" w:eastAsia="zh-CN" w:bidi="ar"/>
              </w:rPr>
              <w:t>的不得分。</w:t>
            </w:r>
          </w:p>
          <w:p>
            <w:pPr>
              <w:adjustRightInd w:val="0"/>
              <w:snapToGrid w:val="0"/>
              <w:spacing w:line="400" w:lineRule="exact"/>
              <w:jc w:val="both"/>
              <w:rPr>
                <w:rFonts w:hint="eastAsia" w:ascii="仿宋" w:hAnsi="仿宋" w:eastAsia="仿宋" w:cs="仿宋"/>
                <w:color w:val="auto"/>
                <w:sz w:val="28"/>
                <w:szCs w:val="24"/>
                <w:highlight w:val="none"/>
              </w:rPr>
            </w:pPr>
            <w:r>
              <w:rPr>
                <w:rFonts w:hint="eastAsia" w:ascii="仿宋" w:hAnsi="仿宋" w:eastAsia="仿宋" w:cs="仿宋"/>
                <w:color w:val="auto"/>
                <w:kern w:val="2"/>
                <w:sz w:val="28"/>
                <w:szCs w:val="24"/>
                <w:highlight w:val="none"/>
                <w:lang w:val="en-US" w:eastAsia="zh-CN" w:bidi="ar"/>
              </w:rPr>
              <w:t>③提供备品备件价格清单及赠送方案（赠送备品的品类、数量等）</w:t>
            </w:r>
            <w:r>
              <w:rPr>
                <w:rFonts w:hint="eastAsia" w:ascii="仿宋" w:hAnsi="仿宋" w:eastAsia="仿宋" w:cs="仿宋"/>
                <w:b w:val="0"/>
                <w:bCs w:val="0"/>
                <w:color w:val="auto"/>
                <w:kern w:val="2"/>
                <w:sz w:val="28"/>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tcBorders/>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tcBorders/>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宋体" w:hAnsi="宋体" w:eastAsia="宋体" w:cs="宋体"/>
                <w:kern w:val="0"/>
                <w:sz w:val="21"/>
                <w:szCs w:val="21"/>
                <w:lang w:val="en-US" w:eastAsia="zh-CN" w:bidi="ar"/>
              </w:rPr>
            </w:pPr>
            <w:r>
              <w:rPr>
                <w:rFonts w:hint="eastAsia" w:ascii="仿宋" w:hAnsi="仿宋" w:eastAsia="仿宋" w:cs="仿宋"/>
                <w:color w:val="auto"/>
                <w:kern w:val="2"/>
                <w:sz w:val="28"/>
                <w:szCs w:val="24"/>
                <w:highlight w:val="none"/>
                <w:lang w:val="en-US" w:eastAsia="zh-CN" w:bidi="ar"/>
              </w:rPr>
              <w:t>货物评审</w:t>
            </w:r>
          </w:p>
        </w:tc>
        <w:tc>
          <w:tcPr>
            <w:tcW w:w="5128" w:type="dxa"/>
            <w:shd w:val="clear" w:color="auto" w:fill="auto"/>
            <w:vAlign w:val="center"/>
          </w:tcPr>
          <w:p>
            <w:pPr>
              <w:keepNext w:val="0"/>
              <w:keepLines w:val="0"/>
              <w:widowControl/>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4"/>
                <w:highlight w:val="none"/>
                <w:lang w:val="en-US" w:eastAsia="zh-CN" w:bidi="ar"/>
              </w:rPr>
            </w:pPr>
            <w:r>
              <w:rPr>
                <w:rFonts w:hint="eastAsia" w:ascii="仿宋" w:hAnsi="仿宋" w:eastAsia="仿宋" w:cs="仿宋"/>
                <w:color w:val="auto"/>
                <w:sz w:val="28"/>
                <w:szCs w:val="24"/>
                <w:highlight w:val="none"/>
                <w:lang w:val="en-US" w:eastAsia="zh-CN" w:bidi="ar"/>
              </w:rPr>
              <w:t>投标人按照以下细则提供投标样品，样品同投标文件一起在截止日前送至招标人处：</w:t>
            </w:r>
          </w:p>
          <w:p>
            <w:pPr>
              <w:keepNext w:val="0"/>
              <w:keepLines w:val="0"/>
              <w:widowControl/>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4"/>
                <w:highlight w:val="none"/>
                <w:lang w:val="en-US" w:eastAsia="zh-CN" w:bidi="ar"/>
              </w:rPr>
            </w:pPr>
            <w:r>
              <w:rPr>
                <w:rFonts w:hint="eastAsia" w:ascii="仿宋" w:hAnsi="仿宋" w:eastAsia="仿宋" w:cs="仿宋"/>
                <w:color w:val="auto"/>
                <w:sz w:val="28"/>
                <w:szCs w:val="24"/>
                <w:highlight w:val="none"/>
                <w:lang w:val="en-US" w:eastAsia="zh-CN" w:bidi="ar"/>
              </w:rPr>
              <w:t>①</w:t>
            </w:r>
            <w:r>
              <w:rPr>
                <w:rFonts w:hint="eastAsia" w:ascii="仿宋" w:hAnsi="仿宋" w:eastAsia="仿宋" w:cs="仿宋"/>
                <w:color w:val="auto"/>
                <w:sz w:val="28"/>
                <w:szCs w:val="24"/>
                <w:highlight w:val="none"/>
                <w:lang w:val="en-US" w:eastAsia="zh-CN" w:bidi="ar"/>
              </w:rPr>
              <w:t>提供</w:t>
            </w:r>
            <w:r>
              <w:rPr>
                <w:rFonts w:hint="eastAsia" w:ascii="仿宋" w:hAnsi="仿宋" w:eastAsia="仿宋" w:cs="仿宋"/>
                <w:color w:val="auto"/>
                <w:sz w:val="28"/>
                <w:szCs w:val="24"/>
                <w:highlight w:val="none"/>
                <w:lang w:val="en-US" w:eastAsia="zh-CN" w:bidi="ar"/>
              </w:rPr>
              <w:t>吊灯“玻璃水滴”小样：</w:t>
            </w:r>
            <w:r>
              <w:rPr>
                <w:rFonts w:hint="eastAsia" w:ascii="仿宋" w:hAnsi="仿宋" w:eastAsia="仿宋" w:cs="仿宋"/>
                <w:color w:val="auto"/>
                <w:sz w:val="28"/>
                <w:szCs w:val="24"/>
                <w:highlight w:val="none"/>
                <w:lang w:eastAsia="zh-CN" w:bidi="ar"/>
              </w:rPr>
              <w:t>按</w:t>
            </w:r>
            <w:r>
              <w:rPr>
                <w:rFonts w:hint="eastAsia" w:ascii="仿宋" w:hAnsi="仿宋" w:eastAsia="仿宋" w:cs="仿宋"/>
                <w:color w:val="auto"/>
                <w:sz w:val="28"/>
                <w:szCs w:val="24"/>
                <w:highlight w:val="none"/>
                <w:lang w:val="en-US" w:eastAsia="zh-CN" w:bidi="ar"/>
              </w:rPr>
              <w:t>清单营销中心</w:t>
            </w:r>
            <w:r>
              <w:rPr>
                <w:rFonts w:hint="eastAsia" w:ascii="仿宋" w:hAnsi="仿宋" w:eastAsia="仿宋" w:cs="仿宋"/>
                <w:color w:val="auto"/>
                <w:sz w:val="28"/>
                <w:szCs w:val="24"/>
                <w:highlight w:val="none"/>
                <w:lang w:eastAsia="zh-CN" w:bidi="ar"/>
              </w:rPr>
              <w:t>的序号</w:t>
            </w:r>
            <w:r>
              <w:rPr>
                <w:rFonts w:hint="eastAsia" w:ascii="仿宋" w:hAnsi="仿宋" w:eastAsia="仿宋" w:cs="仿宋"/>
                <w:color w:val="auto"/>
                <w:sz w:val="28"/>
                <w:szCs w:val="24"/>
                <w:highlight w:val="none"/>
                <w:lang w:val="en-US" w:eastAsia="zh-CN" w:bidi="ar"/>
              </w:rPr>
              <w:t>2</w:t>
            </w:r>
            <w:r>
              <w:rPr>
                <w:rFonts w:hint="eastAsia" w:ascii="仿宋" w:hAnsi="仿宋" w:eastAsia="仿宋" w:cs="仿宋"/>
                <w:color w:val="auto"/>
                <w:sz w:val="28"/>
                <w:szCs w:val="24"/>
                <w:highlight w:val="none"/>
                <w:lang w:eastAsia="zh-CN" w:bidi="ar"/>
              </w:rPr>
              <w:t>产品</w:t>
            </w:r>
            <w:r>
              <w:rPr>
                <w:rFonts w:hint="eastAsia" w:ascii="仿宋" w:hAnsi="仿宋" w:eastAsia="仿宋" w:cs="仿宋"/>
                <w:color w:val="auto"/>
                <w:sz w:val="28"/>
                <w:szCs w:val="24"/>
                <w:highlight w:val="none"/>
                <w:lang w:val="en-US" w:eastAsia="zh-CN" w:bidi="ar"/>
              </w:rPr>
              <w:t>吊灯提供小样；</w:t>
            </w:r>
          </w:p>
          <w:p>
            <w:pPr>
              <w:keepNext w:val="0"/>
              <w:keepLines w:val="0"/>
              <w:widowControl/>
              <w:suppressLineNumbers w:val="0"/>
              <w:autoSpaceDE/>
              <w:autoSpaceDN/>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4"/>
                <w:highlight w:val="none"/>
                <w:lang w:val="en-US" w:eastAsia="zh-CN" w:bidi="ar"/>
              </w:rPr>
            </w:pPr>
            <w:r>
              <w:rPr>
                <w:rFonts w:hint="eastAsia" w:ascii="仿宋" w:hAnsi="仿宋" w:eastAsia="仿宋" w:cs="仿宋"/>
                <w:color w:val="auto"/>
                <w:sz w:val="28"/>
                <w:szCs w:val="24"/>
                <w:highlight w:val="none"/>
                <w:lang w:val="en-US" w:eastAsia="zh-CN" w:bidi="ar"/>
              </w:rPr>
              <w:t>②</w:t>
            </w:r>
            <w:r>
              <w:rPr>
                <w:rFonts w:hint="eastAsia" w:ascii="仿宋" w:hAnsi="仿宋" w:eastAsia="仿宋" w:cs="仿宋"/>
                <w:color w:val="auto"/>
                <w:sz w:val="28"/>
                <w:szCs w:val="24"/>
                <w:highlight w:val="none"/>
                <w:lang w:val="en-US" w:eastAsia="zh-CN" w:bidi="ar"/>
              </w:rPr>
              <w:t>提供</w:t>
            </w:r>
            <w:r>
              <w:rPr>
                <w:rFonts w:hint="eastAsia" w:ascii="仿宋" w:hAnsi="仿宋" w:eastAsia="仿宋" w:cs="仿宋"/>
                <w:color w:val="auto"/>
                <w:sz w:val="28"/>
                <w:szCs w:val="24"/>
                <w:highlight w:val="none"/>
                <w:lang w:val="en-US" w:eastAsia="zh-CN" w:bidi="ar"/>
              </w:rPr>
              <w:t>吊灯“表面雕刻纹理玻璃灯体”小样（玻璃灯体小样L100mm*H80mm）：</w:t>
            </w:r>
            <w:r>
              <w:rPr>
                <w:rFonts w:hint="eastAsia" w:ascii="仿宋" w:hAnsi="仿宋" w:eastAsia="仿宋" w:cs="仿宋"/>
                <w:color w:val="auto"/>
                <w:sz w:val="28"/>
                <w:szCs w:val="24"/>
                <w:highlight w:val="none"/>
                <w:lang w:eastAsia="zh-CN" w:bidi="ar"/>
              </w:rPr>
              <w:t>按</w:t>
            </w:r>
            <w:r>
              <w:rPr>
                <w:rFonts w:hint="eastAsia" w:ascii="仿宋" w:hAnsi="仿宋" w:eastAsia="仿宋" w:cs="仿宋"/>
                <w:color w:val="auto"/>
                <w:sz w:val="28"/>
                <w:szCs w:val="24"/>
                <w:highlight w:val="none"/>
                <w:lang w:val="en-US" w:eastAsia="zh-CN" w:bidi="ar"/>
              </w:rPr>
              <w:t>清单营销中心</w:t>
            </w:r>
            <w:r>
              <w:rPr>
                <w:rFonts w:hint="eastAsia" w:ascii="仿宋" w:hAnsi="仿宋" w:eastAsia="仿宋" w:cs="仿宋"/>
                <w:color w:val="auto"/>
                <w:sz w:val="28"/>
                <w:szCs w:val="24"/>
                <w:highlight w:val="none"/>
                <w:lang w:eastAsia="zh-CN" w:bidi="ar"/>
              </w:rPr>
              <w:t>的序号</w:t>
            </w:r>
            <w:r>
              <w:rPr>
                <w:rFonts w:hint="eastAsia" w:ascii="仿宋" w:hAnsi="仿宋" w:eastAsia="仿宋" w:cs="仿宋"/>
                <w:color w:val="auto"/>
                <w:sz w:val="28"/>
                <w:szCs w:val="24"/>
                <w:highlight w:val="none"/>
                <w:lang w:val="en-US" w:eastAsia="zh-CN" w:bidi="ar"/>
              </w:rPr>
              <w:t>6</w:t>
            </w:r>
            <w:r>
              <w:rPr>
                <w:rFonts w:hint="eastAsia" w:ascii="仿宋" w:hAnsi="仿宋" w:eastAsia="仿宋" w:cs="仿宋"/>
                <w:color w:val="auto"/>
                <w:sz w:val="28"/>
                <w:szCs w:val="24"/>
                <w:highlight w:val="none"/>
                <w:lang w:eastAsia="zh-CN" w:bidi="ar"/>
              </w:rPr>
              <w:t>产品</w:t>
            </w:r>
            <w:r>
              <w:rPr>
                <w:rFonts w:hint="eastAsia" w:ascii="仿宋" w:hAnsi="仿宋" w:eastAsia="仿宋" w:cs="仿宋"/>
                <w:color w:val="auto"/>
                <w:sz w:val="28"/>
                <w:szCs w:val="24"/>
                <w:highlight w:val="none"/>
                <w:lang w:val="en-US" w:eastAsia="zh-CN" w:bidi="ar"/>
              </w:rPr>
              <w:t>吊灯提供小样；</w:t>
            </w:r>
          </w:p>
          <w:p>
            <w:pPr>
              <w:widowControl/>
              <w:adjustRightInd w:val="0"/>
              <w:snapToGrid w:val="0"/>
              <w:spacing w:line="400" w:lineRule="exact"/>
              <w:ind w:left="0"/>
              <w:jc w:val="both"/>
              <w:rPr>
                <w:rFonts w:hint="eastAsia"/>
              </w:rPr>
            </w:pPr>
            <w:r>
              <w:rPr>
                <w:rFonts w:hint="eastAsia" w:ascii="仿宋" w:hAnsi="仿宋" w:eastAsia="仿宋" w:cs="仿宋"/>
                <w:color w:val="auto"/>
                <w:sz w:val="28"/>
                <w:szCs w:val="24"/>
                <w:highlight w:val="none"/>
                <w:lang w:val="en-US" w:eastAsia="zh-CN" w:bidi="ar"/>
              </w:rPr>
              <w:t>③</w:t>
            </w:r>
            <w:r>
              <w:rPr>
                <w:rFonts w:hint="eastAsia" w:ascii="仿宋" w:hAnsi="仿宋" w:eastAsia="仿宋" w:cs="仿宋"/>
                <w:color w:val="auto"/>
                <w:sz w:val="28"/>
                <w:szCs w:val="24"/>
                <w:highlight w:val="none"/>
                <w:lang w:val="en-US" w:eastAsia="zh-CN" w:bidi="ar"/>
              </w:rPr>
              <w:t>提供</w:t>
            </w:r>
            <w:r>
              <w:rPr>
                <w:rFonts w:hint="eastAsia" w:ascii="仿宋" w:hAnsi="仿宋" w:eastAsia="仿宋" w:cs="仿宋"/>
                <w:color w:val="auto"/>
                <w:sz w:val="28"/>
                <w:szCs w:val="24"/>
                <w:highlight w:val="none"/>
                <w:lang w:val="en-US" w:eastAsia="zh-CN" w:bidi="ar"/>
              </w:rPr>
              <w:t>吊灯成品：</w:t>
            </w:r>
            <w:r>
              <w:rPr>
                <w:rFonts w:hint="eastAsia" w:ascii="仿宋" w:hAnsi="仿宋" w:eastAsia="仿宋" w:cs="仿宋"/>
                <w:color w:val="auto"/>
                <w:sz w:val="28"/>
                <w:szCs w:val="24"/>
                <w:highlight w:val="none"/>
                <w:lang w:eastAsia="zh-CN" w:bidi="ar"/>
              </w:rPr>
              <w:t>按</w:t>
            </w:r>
            <w:r>
              <w:rPr>
                <w:rFonts w:hint="eastAsia" w:ascii="仿宋" w:hAnsi="仿宋" w:eastAsia="仿宋" w:cs="仿宋"/>
                <w:color w:val="auto"/>
                <w:sz w:val="28"/>
                <w:szCs w:val="24"/>
                <w:highlight w:val="none"/>
                <w:lang w:val="en-US" w:eastAsia="zh-CN" w:bidi="ar"/>
              </w:rPr>
              <w:t>清单132户型</w:t>
            </w:r>
            <w:r>
              <w:rPr>
                <w:rFonts w:hint="eastAsia" w:ascii="仿宋" w:hAnsi="仿宋" w:eastAsia="仿宋" w:cs="仿宋"/>
                <w:color w:val="auto"/>
                <w:sz w:val="28"/>
                <w:szCs w:val="24"/>
                <w:highlight w:val="none"/>
                <w:lang w:eastAsia="zh-CN" w:bidi="ar"/>
              </w:rPr>
              <w:t>的序号</w:t>
            </w:r>
            <w:r>
              <w:rPr>
                <w:rFonts w:hint="eastAsia" w:ascii="仿宋" w:hAnsi="仿宋" w:eastAsia="仿宋" w:cs="仿宋"/>
                <w:color w:val="auto"/>
                <w:sz w:val="28"/>
                <w:szCs w:val="24"/>
                <w:highlight w:val="none"/>
                <w:lang w:val="en-US" w:eastAsia="zh-CN" w:bidi="ar"/>
              </w:rPr>
              <w:t>2</w:t>
            </w:r>
            <w:r>
              <w:rPr>
                <w:rFonts w:hint="eastAsia" w:ascii="仿宋" w:hAnsi="仿宋" w:eastAsia="仿宋" w:cs="仿宋"/>
                <w:color w:val="auto"/>
                <w:sz w:val="28"/>
                <w:szCs w:val="24"/>
                <w:highlight w:val="none"/>
                <w:lang w:eastAsia="zh-CN" w:bidi="ar"/>
              </w:rPr>
              <w:t>产品</w:t>
            </w:r>
            <w:r>
              <w:rPr>
                <w:rFonts w:hint="eastAsia" w:ascii="仿宋" w:hAnsi="仿宋" w:eastAsia="仿宋" w:cs="仿宋"/>
                <w:color w:val="auto"/>
                <w:sz w:val="28"/>
                <w:szCs w:val="24"/>
                <w:highlight w:val="none"/>
                <w:lang w:val="en-US" w:eastAsia="zh-CN" w:bidi="ar"/>
              </w:rPr>
              <w:t>吊灯</w:t>
            </w:r>
            <w:r>
              <w:rPr>
                <w:rFonts w:hint="eastAsia" w:ascii="仿宋" w:hAnsi="仿宋" w:eastAsia="仿宋" w:cs="仿宋"/>
                <w:color w:val="auto"/>
                <w:sz w:val="28"/>
                <w:szCs w:val="24"/>
                <w:highlight w:val="none"/>
                <w:lang w:eastAsia="zh-CN" w:bidi="ar"/>
              </w:rPr>
              <w:t>制作</w:t>
            </w:r>
            <w:r>
              <w:rPr>
                <w:rFonts w:hint="eastAsia" w:ascii="仿宋" w:hAnsi="仿宋" w:eastAsia="仿宋" w:cs="仿宋"/>
                <w:color w:val="auto"/>
                <w:sz w:val="28"/>
                <w:szCs w:val="24"/>
                <w:highlight w:val="none"/>
                <w:lang w:val="en-US" w:eastAsia="zh-CN" w:bidi="ar"/>
              </w:rPr>
              <w:t>成品</w:t>
            </w:r>
            <w:r>
              <w:rPr>
                <w:rFonts w:hint="eastAsia" w:ascii="仿宋" w:hAnsi="仿宋" w:eastAsia="仿宋" w:cs="仿宋"/>
                <w:color w:val="auto"/>
                <w:sz w:val="28"/>
                <w:szCs w:val="24"/>
                <w:highlight w:val="none"/>
                <w:lang w:eastAsia="zh-CN" w:bidi="ar"/>
              </w:rPr>
              <w:t>。</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beforeLines="0" w:afterLines="0"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7"/>
        <w:adjustRightInd w:val="0"/>
        <w:snapToGrid w:val="0"/>
        <w:spacing w:beforeLines="0" w:afterLines="0"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深圳市新龙福投资发展有限公司</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福城境未来家园项目营销中心及样板房软装（装饰灯具）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w:t>
      </w:r>
      <w:r>
        <w:rPr>
          <w:rFonts w:hint="default" w:ascii="仿宋" w:hAnsi="仿宋" w:eastAsia="仿宋" w:cs="仿宋"/>
          <w:bCs/>
          <w:color w:val="auto"/>
          <w:sz w:val="24"/>
          <w:szCs w:val="24"/>
          <w:highlight w:val="none"/>
          <w:lang w:val="en-US"/>
        </w:rPr>
        <w:t>报价见下表所列</w:t>
      </w:r>
      <w:r>
        <w:rPr>
          <w:rFonts w:hint="eastAsia" w:ascii="仿宋" w:hAnsi="仿宋" w:eastAsia="仿宋" w:cs="仿宋"/>
          <w:bCs/>
          <w:color w:val="auto"/>
          <w:sz w:val="24"/>
          <w:szCs w:val="24"/>
          <w:highlight w:val="none"/>
        </w:rPr>
        <w:t>：</w:t>
      </w:r>
    </w:p>
    <w:tbl>
      <w:tblPr>
        <w:tblStyle w:val="10"/>
        <w:tblW w:w="89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7"/>
        <w:gridCol w:w="3458"/>
        <w:gridCol w:w="1776"/>
        <w:gridCol w:w="1264"/>
        <w:gridCol w:w="19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497"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58"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7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497"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458" w:type="dxa"/>
            <w:tcBorders>
              <w:tl2br w:val="nil"/>
              <w:tr2bl w:val="nil"/>
            </w:tcBorders>
            <w:vAlign w:val="center"/>
          </w:tcPr>
          <w:p>
            <w:pPr>
              <w:keepNext w:val="0"/>
              <w:keepLines w:val="0"/>
              <w:widowControl/>
              <w:suppressLineNumbers w:val="0"/>
              <w:adjustRightInd w:val="0"/>
              <w:snapToGrid w:val="0"/>
              <w:spacing w:beforeLines="0" w:afterLines="0" w:line="440" w:lineRule="exact"/>
              <w:jc w:val="center"/>
              <w:textAlignment w:val="center"/>
              <w:rPr>
                <w:rFonts w:hint="eastAsia" w:ascii="仿宋" w:hAnsi="仿宋" w:eastAsia="仿宋" w:cs="仿宋"/>
                <w:bCs/>
                <w:color w:val="auto"/>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灯具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（不含不可竞争费）</w:t>
            </w:r>
          </w:p>
        </w:tc>
        <w:tc>
          <w:tcPr>
            <w:tcW w:w="1776" w:type="dxa"/>
            <w:tcBorders>
              <w:tl2br w:val="nil"/>
              <w:tr2bl w:val="nil"/>
            </w:tcBorders>
            <w:vAlign w:val="center"/>
          </w:tcPr>
          <w:p>
            <w:pPr>
              <w:keepNext w:val="0"/>
              <w:keepLines w:val="0"/>
              <w:widowControl/>
              <w:suppressLineNumbers w:val="0"/>
              <w:adjustRightInd w:val="0"/>
              <w:snapToGrid w:val="0"/>
              <w:spacing w:beforeLines="0" w:afterLines="0" w:line="440" w:lineRule="exact"/>
              <w:jc w:val="center"/>
              <w:textAlignment w:val="center"/>
              <w:rPr>
                <w:rFonts w:hint="eastAsia" w:ascii="仿宋" w:hAnsi="仿宋" w:eastAsia="仿宋" w:cs="仿宋"/>
                <w:bCs w:val="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454,545.45</w:t>
            </w:r>
          </w:p>
        </w:tc>
        <w:tc>
          <w:tcPr>
            <w:tcW w:w="1264"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p>
        </w:tc>
        <w:tc>
          <w:tcPr>
            <w:tcW w:w="1923"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497"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8" w:type="dxa"/>
            <w:tcBorders>
              <w:tl2br w:val="nil"/>
              <w:tr2bl w:val="nil"/>
            </w:tcBorders>
            <w:vAlign w:val="center"/>
          </w:tcPr>
          <w:p>
            <w:pPr>
              <w:keepNext w:val="0"/>
              <w:keepLines w:val="0"/>
              <w:widowControl/>
              <w:suppressLineNumbers w:val="0"/>
              <w:adjustRightInd w:val="0"/>
              <w:snapToGrid w:val="0"/>
              <w:spacing w:beforeLines="0" w:afterLines="0" w:line="440" w:lineRule="exact"/>
              <w:jc w:val="center"/>
              <w:textAlignment w:val="center"/>
              <w:rPr>
                <w:rFonts w:hint="eastAsia" w:ascii="仿宋" w:hAnsi="仿宋" w:eastAsia="仿宋" w:cs="仿宋"/>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暂列金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（不可竞争费）</w:t>
            </w:r>
          </w:p>
        </w:tc>
        <w:tc>
          <w:tcPr>
            <w:tcW w:w="1776" w:type="dxa"/>
            <w:tcBorders>
              <w:tl2br w:val="nil"/>
              <w:tr2bl w:val="nil"/>
            </w:tcBorders>
            <w:vAlign w:val="center"/>
          </w:tcPr>
          <w:p>
            <w:pPr>
              <w:keepNext w:val="0"/>
              <w:keepLines w:val="0"/>
              <w:widowControl/>
              <w:suppressLineNumbers w:val="0"/>
              <w:adjustRightInd w:val="0"/>
              <w:snapToGrid w:val="0"/>
              <w:spacing w:beforeLines="0" w:afterLines="0" w:line="440" w:lineRule="exact"/>
              <w:jc w:val="center"/>
              <w:textAlignment w:val="center"/>
              <w:rPr>
                <w:rFonts w:hint="eastAsia" w:ascii="仿宋" w:hAnsi="仿宋" w:eastAsia="仿宋" w:cs="仿宋"/>
                <w:bCs w:val="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45,454.55</w:t>
            </w:r>
          </w:p>
        </w:tc>
        <w:tc>
          <w:tcPr>
            <w:tcW w:w="126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45,454.55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497"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5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7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beforeLines="0" w:afterLines="0" w:line="440" w:lineRule="exact"/>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363,711</w:t>
            </w:r>
            <w:r>
              <w:rPr>
                <w:rFonts w:hint="eastAsia" w:ascii="仿宋" w:hAnsi="仿宋" w:eastAsia="仿宋" w:cs="仿宋"/>
                <w:bCs w:val="0"/>
                <w:kern w:val="2"/>
                <w:sz w:val="24"/>
                <w:szCs w:val="24"/>
                <w:lang w:val="en-US"/>
              </w:rPr>
              <w:t>.</w:t>
            </w:r>
            <w:r>
              <w:rPr>
                <w:rFonts w:hint="eastAsia" w:ascii="仿宋" w:hAnsi="仿宋" w:eastAsia="仿宋" w:cs="仿宋"/>
                <w:bCs w:val="0"/>
                <w:kern w:val="2"/>
                <w:sz w:val="24"/>
                <w:szCs w:val="24"/>
                <w:lang w:val="en-US" w:eastAsia="zh-CN"/>
              </w:rPr>
              <w:t>20</w:t>
            </w:r>
          </w:p>
        </w:tc>
        <w:tc>
          <w:tcPr>
            <w:tcW w:w="1264"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3" w:type="dxa"/>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3955" w:type="dxa"/>
            <w:gridSpan w:val="2"/>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63" w:type="dxa"/>
            <w:gridSpan w:val="3"/>
            <w:tcBorders>
              <w:tl2br w:val="nil"/>
              <w:tr2bl w:val="nil"/>
            </w:tcBorders>
            <w:vAlign w:val="center"/>
          </w:tcPr>
          <w:p>
            <w:pPr>
              <w:widowControl/>
              <w:adjustRightInd w:val="0"/>
              <w:snapToGrid w:val="0"/>
              <w:spacing w:beforeLines="0" w:afterLines="0" w:line="440" w:lineRule="exact"/>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beforeLines="0" w:afterLines="0" w:line="440" w:lineRule="exact"/>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上述表格仅填写最终报价及最终综合下浮率，具体报价已在清单中逐一填写，我司承诺投标报价不论单价、总价均为我司正常报价水准，不低于成本价，也不存在任何不平衡报价，若因我司不平衡报价或低于成本报价所产生的一切后果，均由我司自行承担。</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beforeLines="0" w:afterLines="0"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beforeLines="0" w:afterLines="0" w:line="440" w:lineRule="exact"/>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beforeLines="0" w:afterLines="0" w:line="440" w:lineRule="exact"/>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beforeLines="0" w:afterLines="0" w:line="440" w:lineRule="exact"/>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2" w:name="_GoBack"/>
      <w:bookmarkStart w:id="1" w:name="定性评审法"/>
      <w:r>
        <w:rPr>
          <w:rFonts w:hint="eastAsia" w:ascii="仿宋" w:hAnsi="仿宋" w:eastAsia="仿宋" w:cs="仿宋"/>
          <w:b/>
          <w:color w:val="auto"/>
          <w:sz w:val="28"/>
          <w:szCs w:val="28"/>
          <w:highlight w:val="none"/>
        </w:rPr>
        <w:t>投标承诺函</w:t>
      </w:r>
    </w:p>
    <w:p>
      <w:pPr>
        <w:pStyle w:val="7"/>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深圳市新龙福投资发展有限公司</w:t>
      </w:r>
      <w:r>
        <w:rPr>
          <w:rFonts w:hint="eastAsia" w:ascii="仿宋" w:hAnsi="仿宋" w:eastAsia="仿宋" w:cs="仿宋"/>
          <w:bCs/>
          <w:color w:val="auto"/>
          <w:sz w:val="24"/>
          <w:szCs w:val="24"/>
          <w:highlight w:val="none"/>
          <w:u w:val="single"/>
        </w:rPr>
        <w:t xml:space="preserve"> </w:t>
      </w:r>
    </w:p>
    <w:bookmarkEnd w:id="2"/>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lang w:val="en-US" w:eastAsia="zh-CN"/>
        </w:rPr>
        <w:t>福城境未来家园项目营销中心及样板房软装（装饰灯具）</w:t>
      </w:r>
      <w:r>
        <w:rPr>
          <w:rFonts w:hint="eastAsia" w:ascii="仿宋" w:hAnsi="仿宋" w:eastAsia="仿宋" w:cs="仿宋"/>
          <w:sz w:val="24"/>
          <w:szCs w:val="24"/>
          <w:u w:val="single"/>
          <w:lang w:val="en-US" w:eastAsia="zh-CN"/>
        </w:rPr>
        <w:t>采购遴选</w:t>
      </w:r>
      <w:r>
        <w:rPr>
          <w:rFonts w:hint="eastAsia" w:ascii="仿宋" w:hAnsi="仿宋" w:eastAsia="仿宋" w:cs="仿宋"/>
          <w:bCs/>
          <w:color w:val="auto"/>
          <w:sz w:val="24"/>
          <w:szCs w:val="24"/>
          <w:highlight w:val="none"/>
        </w:rPr>
        <w:t>公告的所有内容及要求，为此作出如下承诺：</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一旦我方中选，将保证在收到中标通知</w:t>
      </w:r>
      <w:r>
        <w:rPr>
          <w:rFonts w:hint="eastAsia" w:ascii="仿宋" w:hAnsi="仿宋" w:eastAsia="仿宋" w:cs="仿宋"/>
          <w:bCs/>
          <w:color w:val="auto"/>
          <w:sz w:val="24"/>
          <w:szCs w:val="24"/>
          <w:highlight w:val="none"/>
          <w:lang w:val="en-US" w:eastAsia="zh-CN"/>
        </w:rPr>
        <w:t>之日起</w:t>
      </w:r>
      <w:r>
        <w:rPr>
          <w:rFonts w:hint="eastAsia" w:ascii="仿宋" w:hAnsi="仿宋" w:eastAsia="仿宋" w:cs="仿宋"/>
          <w:bCs/>
          <w:color w:val="auto"/>
          <w:sz w:val="24"/>
          <w:szCs w:val="24"/>
          <w:highlight w:val="none"/>
        </w:rPr>
        <w:t>30日内，与贵方按</w:t>
      </w:r>
      <w:r>
        <w:rPr>
          <w:rFonts w:hint="eastAsia" w:ascii="仿宋" w:hAnsi="仿宋" w:eastAsia="仿宋" w:cs="仿宋"/>
          <w:bCs/>
          <w:color w:val="auto"/>
          <w:sz w:val="24"/>
          <w:szCs w:val="24"/>
          <w:highlight w:val="none"/>
          <w:lang w:val="en-US" w:eastAsia="zh-CN"/>
        </w:rPr>
        <w:t>遴选公告及附件、</w:t>
      </w:r>
      <w:r>
        <w:rPr>
          <w:rFonts w:hint="eastAsia" w:ascii="仿宋" w:hAnsi="仿宋" w:eastAsia="仿宋" w:cs="仿宋"/>
          <w:bCs/>
          <w:color w:val="auto"/>
          <w:sz w:val="24"/>
          <w:szCs w:val="24"/>
          <w:highlight w:val="none"/>
        </w:rPr>
        <w:t>投标文件</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承诺内容签订合同，否则，视为我方自愿放弃中标资格</w:t>
      </w:r>
      <w:r>
        <w:rPr>
          <w:rFonts w:hint="eastAsia" w:ascii="仿宋" w:hAnsi="仿宋" w:eastAsia="仿宋" w:cs="仿宋"/>
          <w:bCs/>
          <w:color w:val="auto"/>
          <w:sz w:val="24"/>
          <w:szCs w:val="24"/>
          <w:highlight w:val="none"/>
          <w:lang w:eastAsia="zh-CN"/>
        </w:rPr>
        <w:t>。</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一旦我方中选，将与</w:t>
      </w:r>
      <w:r>
        <w:rPr>
          <w:rFonts w:hint="eastAsia" w:ascii="仿宋" w:hAnsi="仿宋" w:eastAsia="仿宋" w:cs="仿宋"/>
          <w:bCs/>
          <w:color w:val="auto"/>
          <w:sz w:val="24"/>
          <w:szCs w:val="24"/>
          <w:highlight w:val="none"/>
          <w:lang w:val="en-US" w:eastAsia="zh-CN"/>
        </w:rPr>
        <w:t>贵方</w:t>
      </w:r>
      <w:r>
        <w:rPr>
          <w:rFonts w:hint="eastAsia" w:ascii="仿宋" w:hAnsi="仿宋" w:eastAsia="仿宋" w:cs="仿宋"/>
          <w:bCs/>
          <w:color w:val="auto"/>
          <w:sz w:val="24"/>
          <w:szCs w:val="24"/>
          <w:highlight w:val="none"/>
        </w:rPr>
        <w:t>友好合作，依约履行委托合同，自觉接受委托单位的日常监管和履约评价，为委托单位提供优质、高效服务。</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我方承诺履行项目</w:t>
      </w:r>
      <w:r>
        <w:rPr>
          <w:rFonts w:hint="eastAsia" w:ascii="仿宋" w:hAnsi="仿宋" w:eastAsia="仿宋" w:cs="仿宋"/>
          <w:bCs/>
          <w:color w:val="auto"/>
          <w:sz w:val="24"/>
          <w:szCs w:val="24"/>
          <w:highlight w:val="none"/>
          <w:lang w:val="en-US" w:eastAsia="zh-CN"/>
        </w:rPr>
        <w:t>团队人员</w:t>
      </w:r>
      <w:r>
        <w:rPr>
          <w:rFonts w:hint="eastAsia" w:ascii="仿宋" w:hAnsi="仿宋" w:eastAsia="仿宋" w:cs="仿宋"/>
          <w:bCs/>
          <w:color w:val="auto"/>
          <w:sz w:val="24"/>
          <w:szCs w:val="24"/>
          <w:highlight w:val="none"/>
        </w:rPr>
        <w:t>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如果违反本承诺书中任何条款，我方愿意接受：</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7"/>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7"/>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w:t>
      </w:r>
      <w:r>
        <w:rPr>
          <w:rFonts w:hint="eastAsia" w:ascii="仿宋_GB2312" w:hAnsi="仿宋_GB2312" w:eastAsia="仿宋_GB2312" w:cs="仿宋_GB2312"/>
          <w:color w:val="auto"/>
          <w:sz w:val="24"/>
          <w:szCs w:val="24"/>
          <w:highlight w:val="none"/>
          <w:lang w:val="en-US" w:eastAsia="zh-CN"/>
        </w:rPr>
        <w:t>相关扫描件后附，</w:t>
      </w:r>
      <w:r>
        <w:rPr>
          <w:rFonts w:hint="eastAsia" w:ascii="仿宋_GB2312" w:hAnsi="仿宋_GB2312" w:eastAsia="仿宋_GB2312" w:cs="仿宋_GB2312"/>
          <w:color w:val="auto"/>
          <w:sz w:val="24"/>
          <w:szCs w:val="24"/>
          <w:highlight w:val="none"/>
        </w:rPr>
        <w:t>投标人将合同中项目名称、同类</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对应的合同额、</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产品认证情况</w:t>
      </w:r>
      <w:r>
        <w:rPr>
          <w:rFonts w:hint="eastAsia" w:ascii="仿宋" w:hAnsi="仿宋" w:eastAsia="仿宋" w:cs="仿宋"/>
          <w:b/>
          <w:bCs/>
          <w:color w:val="auto"/>
          <w:sz w:val="28"/>
          <w:szCs w:val="28"/>
          <w:highlight w:val="none"/>
        </w:rPr>
        <w:t>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认证证书</w:t>
            </w:r>
          </w:p>
        </w:tc>
        <w:tc>
          <w:tcPr>
            <w:tcW w:w="2100"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认证有效期</w:t>
            </w:r>
          </w:p>
        </w:tc>
        <w:tc>
          <w:tcPr>
            <w:tcW w:w="1593"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认证单元</w:t>
            </w:r>
          </w:p>
        </w:tc>
        <w:tc>
          <w:tcPr>
            <w:tcW w:w="177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认证单元是否齐全</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注：投标人提供有效期内的体系认证证书扫描件及在全国认证认可信息公共服务平台（认e云）（http://cx.cnca.cn/CertECloud/index/index/page）查询有效的截图，原件备查。</w:t>
      </w:r>
    </w:p>
    <w:p>
      <w:pPr>
        <w:rPr>
          <w:rFonts w:hint="eastAsia" w:ascii="仿宋" w:hAnsi="仿宋" w:eastAsia="仿宋" w:cs="仿宋"/>
          <w:color w:val="auto"/>
          <w:sz w:val="24"/>
          <w:szCs w:val="24"/>
          <w:highlight w:val="none"/>
        </w:rPr>
      </w:pPr>
    </w:p>
    <w:bookmarkEnd w:id="0"/>
    <w:bookmarkEnd w:id="1"/>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2"/>
        <w:rPr>
          <w:rFonts w:hint="default"/>
          <w:lang w:val="en-US" w:eastAsia="zh-CN"/>
        </w:rPr>
      </w:pPr>
    </w:p>
    <w:sectPr>
      <w:pgSz w:w="11906" w:h="16838"/>
      <w:pgMar w:top="1984" w:right="1417"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42D158D"/>
    <w:rsid w:val="137E32EB"/>
    <w:rsid w:val="16F13C2F"/>
    <w:rsid w:val="18893450"/>
    <w:rsid w:val="21F433CC"/>
    <w:rsid w:val="2847702A"/>
    <w:rsid w:val="2F9C3726"/>
    <w:rsid w:val="306A4EEC"/>
    <w:rsid w:val="32B00E4D"/>
    <w:rsid w:val="33BF02E8"/>
    <w:rsid w:val="3444618C"/>
    <w:rsid w:val="3A3E4582"/>
    <w:rsid w:val="3D3171E8"/>
    <w:rsid w:val="45371873"/>
    <w:rsid w:val="498E7188"/>
    <w:rsid w:val="49AB55A6"/>
    <w:rsid w:val="50317CDC"/>
    <w:rsid w:val="52254E93"/>
    <w:rsid w:val="56CB2B66"/>
    <w:rsid w:val="5AF83711"/>
    <w:rsid w:val="5BF14D74"/>
    <w:rsid w:val="6140578B"/>
    <w:rsid w:val="68610DE6"/>
    <w:rsid w:val="777D7FD8"/>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1"/>
    <w:pPr>
      <w:ind w:left="779" w:firstLine="641"/>
      <w:jc w:val="left"/>
    </w:pPr>
    <w:rPr>
      <w:rFonts w:ascii="宋体" w:hAnsi="宋体"/>
      <w:kern w:val="0"/>
      <w:sz w:val="32"/>
      <w:szCs w:val="32"/>
      <w:lang w:eastAsia="en-US"/>
    </w:rPr>
  </w:style>
  <w:style w:type="paragraph" w:styleId="7">
    <w:name w:val="Plain Text"/>
    <w:basedOn w:val="1"/>
    <w:qFormat/>
    <w:uiPriority w:val="0"/>
    <w:rPr>
      <w:rFonts w:hAnsi="Courier New" w:cs="Courier New"/>
      <w:szCs w:val="21"/>
    </w:rPr>
  </w:style>
  <w:style w:type="paragraph" w:styleId="8">
    <w:name w:val="footer"/>
    <w:basedOn w:val="1"/>
    <w:unhideWhenUsed/>
    <w:qFormat/>
    <w:uiPriority w:val="99"/>
    <w:pPr>
      <w:tabs>
        <w:tab w:val="center" w:pos="4153"/>
        <w:tab w:val="right" w:pos="8306"/>
      </w:tabs>
      <w:snapToGrid w:val="0"/>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dcterms:modified xsi:type="dcterms:W3CDTF">2025-08-21T08:35:59Z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CF834F5FA2B9441EA2356E7AD013DE0A_13</vt:lpwstr>
  </property>
</Properties>
</file>